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6" w:rsidRPr="000578E2" w:rsidRDefault="001A5B7F" w:rsidP="00D042C6">
      <w:pPr>
        <w:spacing w:after="0"/>
        <w:rPr>
          <w:b/>
          <w:color w:val="595959"/>
          <w:sz w:val="40"/>
        </w:rPr>
      </w:pPr>
      <w:r>
        <w:rPr>
          <w:b/>
          <w:noProof/>
          <w:color w:val="595959"/>
          <w:sz w:val="40"/>
          <w:lang w:val="en-US"/>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7280" cy="1038334"/>
                    </a:xfrm>
                    <a:prstGeom prst="rect">
                      <a:avLst/>
                    </a:prstGeom>
                  </pic:spPr>
                </pic:pic>
              </a:graphicData>
            </a:graphic>
          </wp:inline>
        </w:drawing>
      </w:r>
    </w:p>
    <w:p w:rsidR="00073D80" w:rsidRPr="000578E2" w:rsidRDefault="000A2C55" w:rsidP="00D042C6">
      <w:pPr>
        <w:spacing w:after="0"/>
        <w:rPr>
          <w:b/>
          <w:color w:val="595959"/>
          <w:sz w:val="40"/>
        </w:rPr>
      </w:pPr>
      <w:r>
        <w:rPr>
          <w:b/>
          <w:color w:val="595959"/>
          <w:sz w:val="40"/>
        </w:rPr>
        <w:t>AC Managed Equity Portfolio</w:t>
      </w:r>
    </w:p>
    <w:p w:rsidR="00D042C6" w:rsidRPr="000578E2" w:rsidRDefault="000A2C55" w:rsidP="00D042C6">
      <w:pPr>
        <w:spacing w:after="0"/>
        <w:rPr>
          <w:b/>
          <w:color w:val="595959"/>
          <w:sz w:val="40"/>
        </w:rPr>
      </w:pPr>
      <w:r>
        <w:rPr>
          <w:b/>
          <w:color w:val="595959"/>
          <w:sz w:val="40"/>
        </w:rPr>
        <w:t>September 2020</w:t>
      </w:r>
      <w:r w:rsidR="00D042C6" w:rsidRPr="000578E2">
        <w:rPr>
          <w:b/>
          <w:color w:val="595959"/>
          <w:sz w:val="40"/>
        </w:rPr>
        <w:t xml:space="preserve"> Quarterly Review</w:t>
      </w:r>
    </w:p>
    <w:p w:rsidR="00334718" w:rsidRPr="000578E2" w:rsidRDefault="00334718" w:rsidP="008D5309">
      <w:pPr>
        <w:pStyle w:val="Heading2"/>
        <w:spacing w:before="480"/>
        <w:sectPr w:rsidR="00334718" w:rsidRPr="000578E2" w:rsidSect="009A2283">
          <w:footerReference w:type="even" r:id="rId10"/>
          <w:footerReference w:type="default" r:id="rId11"/>
          <w:type w:val="continuous"/>
          <w:pgSz w:w="11900" w:h="16840"/>
          <w:pgMar w:top="1440" w:right="1410" w:bottom="1440" w:left="1276" w:header="708" w:footer="708" w:gutter="0"/>
          <w:cols w:space="708"/>
        </w:sectPr>
      </w:pPr>
    </w:p>
    <w:p w:rsidR="008F3B18" w:rsidRPr="000578E2" w:rsidRDefault="008F3B18" w:rsidP="008F3B18">
      <w:pPr>
        <w:spacing w:before="120"/>
        <w:jc w:val="both"/>
      </w:pPr>
    </w:p>
    <w:p w:rsidR="00FA00EF" w:rsidRPr="000578E2" w:rsidRDefault="000A2C55" w:rsidP="008F3B18">
      <w:pPr>
        <w:pStyle w:val="Heading2"/>
        <w:spacing w:before="120" w:after="60"/>
      </w:pPr>
      <w:r w:rsidRPr="000578E2">
        <w:t>Portfolio Performance</w:t>
      </w:r>
    </w:p>
    <w:p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rsidR="00D16B2C" w:rsidRPr="000578E2" w:rsidRDefault="00D16B2C" w:rsidP="008F3B18">
      <w:pPr>
        <w:spacing w:before="120"/>
        <w:jc w:val="both"/>
        <w:rPr>
          <w:rFonts w:eastAsia="Hiragino Kaku Gothic Pro W6" w:cs="Segoe UI"/>
        </w:rPr>
      </w:pPr>
      <w:r w:rsidRPr="000578E2">
        <w:rPr>
          <w:rFonts w:eastAsia="Hiragino Kaku Gothic Pro W6" w:cs="Segoe UI"/>
        </w:rPr>
        <w:lastRenderedPageBreak/>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1.22</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-0.44</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1.66</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p>
    <w:p w:rsidR="008F3B18" w:rsidRPr="000578E2" w:rsidRDefault="008F3B18" w:rsidP="008F3B18">
      <w:pPr>
        <w:spacing w:before="120"/>
        <w:jc w:val="both"/>
        <w:rPr>
          <w:rFonts w:eastAsia="Hiragino Kaku Gothic Pro W6" w:cs="Segoe UI"/>
        </w:rPr>
      </w:pPr>
    </w:p>
    <w:p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30 September 2020</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rsidTr="008F3B18">
        <w:trPr>
          <w:trHeight w:val="1021"/>
        </w:trPr>
        <w:tc>
          <w:tcPr>
            <w:tcW w:w="1329"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-5.30</w:t>
            </w:r>
            <w:r w:rsidRPr="000578E2">
              <w:rPr>
                <w:color w:val="000000"/>
                <w:sz w:val="20"/>
                <w:szCs w:val="20"/>
              </w:rPr>
              <w:fldChar w:fldCharType="end"/>
            </w:r>
          </w:p>
        </w:tc>
        <w:tc>
          <w:tcPr>
            <w:tcW w:w="1275" w:type="dxa"/>
            <w:shd w:val="clear" w:color="auto" w:fill="auto"/>
            <w:vAlign w:val="center"/>
          </w:tcPr>
          <w:p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1.22</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30.27</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21.88</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16.83</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11.70</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-3.66</w:t>
            </w:r>
            <w:r w:rsidRPr="000578E2">
              <w:rPr>
                <w:color w:val="000000"/>
                <w:sz w:val="20"/>
                <w:szCs w:val="20"/>
              </w:rPr>
              <w:fldChar w:fldCharType="end"/>
            </w:r>
          </w:p>
        </w:tc>
        <w:tc>
          <w:tcPr>
            <w:tcW w:w="127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-0.44</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15.97</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-10.18</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4.79</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5.36</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-1.64</w:t>
            </w:r>
            <w:r w:rsidRPr="000578E2">
              <w:rPr>
                <w:b/>
                <w:color w:val="000000"/>
                <w:sz w:val="20"/>
                <w:szCs w:val="20"/>
              </w:rPr>
              <w:fldChar w:fldCharType="end"/>
            </w:r>
          </w:p>
        </w:tc>
        <w:tc>
          <w:tcPr>
            <w:tcW w:w="127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1.66</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14.30</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32.06</w:t>
            </w:r>
            <w:r w:rsidRPr="000578E2">
              <w:rPr>
                <w:b/>
                <w:color w:val="000000"/>
                <w:sz w:val="20"/>
                <w:szCs w:val="20"/>
              </w:rPr>
              <w:fldChar w:fldCharType="end"/>
            </w:r>
          </w:p>
        </w:tc>
        <w:tc>
          <w:tcPr>
            <w:tcW w:w="1276" w:type="dxa"/>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12.04</w:t>
            </w:r>
            <w:r w:rsidRPr="000578E2">
              <w:rPr>
                <w:b/>
                <w:color w:val="000000"/>
                <w:sz w:val="20"/>
                <w:szCs w:val="20"/>
              </w:rPr>
              <w:fldChar w:fldCharType="end"/>
            </w:r>
          </w:p>
        </w:tc>
        <w:tc>
          <w:tcPr>
            <w:tcW w:w="1417"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6.34</w:t>
            </w:r>
            <w:r w:rsidRPr="000578E2">
              <w:rPr>
                <w:b/>
                <w:color w:val="000000"/>
                <w:sz w:val="20"/>
                <w:szCs w:val="20"/>
              </w:rPr>
              <w:fldChar w:fldCharType="end"/>
            </w:r>
          </w:p>
        </w:tc>
      </w:tr>
    </w:tbl>
    <w:p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rsidR="00382DB8" w:rsidRPr="000578E2" w:rsidRDefault="001A5B7F" w:rsidP="00382DB8">
      <w:pPr>
        <w:spacing w:before="120"/>
        <w:jc w:val="both"/>
        <w:rPr>
          <w:rFonts w:eastAsia="Hiragino Kaku Gothic Pro W6" w:cs="Segoe UI"/>
        </w:rPr>
      </w:pPr>
      <w:r>
        <w:rPr>
          <w:rFonts w:eastAsia="Hiragino Kaku Gothic Pro W6" w:cs="Segoe UI"/>
        </w:rPr>
        <w:t xml:space="preserve">The portfolio has been managed defensively over the quarter, reflecting in a slight rise over the quarter whilst the index has had a minimal decline. There is a lot of uncertainty at present. </w:t>
      </w:r>
      <w:proofErr w:type="spellStart"/>
      <w:r>
        <w:rPr>
          <w:rFonts w:eastAsia="Hiragino Kaku Gothic Pro W6" w:cs="Segoe UI"/>
        </w:rPr>
        <w:t>Covid</w:t>
      </w:r>
      <w:proofErr w:type="spellEnd"/>
      <w:r>
        <w:rPr>
          <w:rFonts w:eastAsia="Hiragino Kaku Gothic Pro W6" w:cs="Segoe UI"/>
        </w:rPr>
        <w:t xml:space="preserve"> 19 is threatening to explode in Europe and the USA as citizens tire of restrictions and let down their guard. A bleak winter is in prospect. This is US election year and next quarter may see some nervousness which is common in election years. The portfolio has reduced many growth positions, and </w:t>
      </w:r>
      <w:proofErr w:type="spellStart"/>
      <w:r>
        <w:rPr>
          <w:rFonts w:eastAsia="Hiragino Kaku Gothic Pro W6" w:cs="Segoe UI"/>
        </w:rPr>
        <w:t>swiched</w:t>
      </w:r>
      <w:proofErr w:type="spellEnd"/>
      <w:r>
        <w:rPr>
          <w:rFonts w:eastAsia="Hiragino Kaku Gothic Pro W6" w:cs="Segoe UI"/>
        </w:rPr>
        <w:t xml:space="preserve"> into a gold position in an ETF, retained and increased gold weightings in gold miners and a near producer, increased the </w:t>
      </w:r>
      <w:proofErr w:type="spellStart"/>
      <w:r>
        <w:rPr>
          <w:rFonts w:eastAsia="Hiragino Kaku Gothic Pro W6" w:cs="Segoe UI"/>
        </w:rPr>
        <w:t>Xplore</w:t>
      </w:r>
      <w:proofErr w:type="spellEnd"/>
      <w:r>
        <w:rPr>
          <w:rFonts w:eastAsia="Hiragino Kaku Gothic Pro W6" w:cs="Segoe UI"/>
        </w:rPr>
        <w:t xml:space="preserve"> position because it is a likely target for rationalisation in the industry and oversold, kept </w:t>
      </w:r>
      <w:proofErr w:type="spellStart"/>
      <w:r>
        <w:rPr>
          <w:rFonts w:eastAsia="Hiragino Kaku Gothic Pro W6" w:cs="Segoe UI"/>
        </w:rPr>
        <w:t>Kogan</w:t>
      </w:r>
      <w:proofErr w:type="spellEnd"/>
      <w:r>
        <w:rPr>
          <w:rFonts w:eastAsia="Hiragino Kaku Gothic Pro W6" w:cs="Segoe UI"/>
        </w:rPr>
        <w:t xml:space="preserve"> and Harvey Norman because they are huge beneficiaries of the changing pattern of consumer spending in a way that Myer is not!</w:t>
      </w:r>
    </w:p>
    <w:p w:rsidR="008F3B18" w:rsidRDefault="008F3B18" w:rsidP="008D5309">
      <w:pPr>
        <w:rPr>
          <w:rFonts w:eastAsia="Hiragino Kaku Gothic Pro W6" w:cs="Segoe UI"/>
          <w:b/>
          <w:color w:val="1F497D"/>
        </w:rPr>
      </w:pPr>
    </w:p>
    <w:p w:rsidR="001A5B7F" w:rsidRPr="000578E2" w:rsidRDefault="001A5B7F" w:rsidP="008D5309">
      <w:pPr>
        <w:rPr>
          <w:rFonts w:eastAsia="Hiragino Kaku Gothic Pro W6" w:cs="Segoe UI"/>
          <w:b/>
          <w:color w:val="1F497D"/>
        </w:rPr>
      </w:pPr>
    </w:p>
    <w:p w:rsidR="008D5309" w:rsidRPr="000578E2" w:rsidRDefault="0056204C" w:rsidP="008F3B18">
      <w:pPr>
        <w:pStyle w:val="Heading2"/>
        <w:spacing w:before="120" w:after="60"/>
        <w:rPr>
          <w:sz w:val="24"/>
          <w:szCs w:val="24"/>
        </w:rPr>
      </w:pPr>
      <w:r w:rsidRPr="000578E2">
        <w:rPr>
          <w:sz w:val="24"/>
          <w:szCs w:val="24"/>
        </w:rPr>
        <w:lastRenderedPageBreak/>
        <w:t xml:space="preserve">Top </w:t>
      </w:r>
      <w:r>
        <w:rPr>
          <w:sz w:val="24"/>
          <w:szCs w:val="24"/>
        </w:rPr>
        <w:t>5</w:t>
      </w:r>
      <w:r w:rsidRPr="000578E2">
        <w:rPr>
          <w:sz w:val="24"/>
          <w:szCs w:val="24"/>
        </w:rPr>
        <w:t xml:space="preserve"> stocks by weight as at </w:t>
      </w:r>
      <w:r>
        <w:rPr>
          <w:sz w:val="24"/>
          <w:szCs w:val="24"/>
        </w:rPr>
        <w:t>30 September 2020</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rsidTr="004734B1">
        <w:tc>
          <w:tcPr>
            <w:tcW w:w="3827"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Sector</w:t>
            </w:r>
          </w:p>
        </w:tc>
      </w:tr>
      <w:tr w:rsidR="000D1008">
        <w:tc>
          <w:tcPr>
            <w:tcW w:w="2310" w:type="dxa"/>
          </w:tcPr>
          <w:p w:rsidR="000D1008" w:rsidRDefault="001A5B7F">
            <w:r>
              <w:t>ETFS METALS. ETFS GOLD</w:t>
            </w:r>
          </w:p>
        </w:tc>
        <w:tc>
          <w:tcPr>
            <w:tcW w:w="2310" w:type="dxa"/>
          </w:tcPr>
          <w:p w:rsidR="000D1008" w:rsidRDefault="001A5B7F">
            <w:r>
              <w:t>Financials</w:t>
            </w:r>
          </w:p>
        </w:tc>
      </w:tr>
      <w:tr w:rsidR="000D1008">
        <w:tc>
          <w:tcPr>
            <w:tcW w:w="2310" w:type="dxa"/>
          </w:tcPr>
          <w:p w:rsidR="000D1008" w:rsidRDefault="001A5B7F">
            <w:r>
              <w:t>XPLOREWLTH LIMITED ORDINARY</w:t>
            </w:r>
          </w:p>
        </w:tc>
        <w:tc>
          <w:tcPr>
            <w:tcW w:w="2310" w:type="dxa"/>
          </w:tcPr>
          <w:p w:rsidR="000D1008" w:rsidRDefault="001A5B7F">
            <w:r>
              <w:t>Financials</w:t>
            </w:r>
          </w:p>
        </w:tc>
      </w:tr>
      <w:tr w:rsidR="000D1008">
        <w:tc>
          <w:tcPr>
            <w:tcW w:w="2310" w:type="dxa"/>
          </w:tcPr>
          <w:p w:rsidR="000D1008" w:rsidRDefault="001A5B7F">
            <w:r>
              <w:t>KOGAN.COM LTD ORDINARY</w:t>
            </w:r>
          </w:p>
        </w:tc>
        <w:tc>
          <w:tcPr>
            <w:tcW w:w="2310" w:type="dxa"/>
          </w:tcPr>
          <w:p w:rsidR="000D1008" w:rsidRDefault="001A5B7F">
            <w:r>
              <w:t>Consumer Discretionary</w:t>
            </w:r>
          </w:p>
        </w:tc>
      </w:tr>
      <w:tr w:rsidR="000D1008">
        <w:tc>
          <w:tcPr>
            <w:tcW w:w="2310" w:type="dxa"/>
          </w:tcPr>
          <w:p w:rsidR="000D1008" w:rsidRDefault="001A5B7F">
            <w:r>
              <w:t>NORTHERN STAR ORDINARY</w:t>
            </w:r>
          </w:p>
        </w:tc>
        <w:tc>
          <w:tcPr>
            <w:tcW w:w="2310" w:type="dxa"/>
          </w:tcPr>
          <w:p w:rsidR="000D1008" w:rsidRDefault="001A5B7F">
            <w:r>
              <w:t>Materials</w:t>
            </w:r>
          </w:p>
        </w:tc>
      </w:tr>
      <w:tr w:rsidR="000D1008">
        <w:tc>
          <w:tcPr>
            <w:tcW w:w="2310" w:type="dxa"/>
          </w:tcPr>
          <w:p w:rsidR="000D1008" w:rsidRDefault="001A5B7F">
            <w:r>
              <w:t>BELLEVUE GOLD LTD ORDINARY</w:t>
            </w:r>
          </w:p>
        </w:tc>
        <w:tc>
          <w:tcPr>
            <w:tcW w:w="2310" w:type="dxa"/>
          </w:tcPr>
          <w:p w:rsidR="000D1008" w:rsidRDefault="001A5B7F">
            <w:r>
              <w:t>Materials</w:t>
            </w:r>
          </w:p>
        </w:tc>
      </w:tr>
    </w:tbl>
    <w:p w:rsidR="008833C7" w:rsidRDefault="008833C7" w:rsidP="008F3B18">
      <w:pPr>
        <w:pStyle w:val="Heading2"/>
        <w:spacing w:before="120" w:after="60"/>
      </w:pPr>
    </w:p>
    <w:p w:rsidR="008D5309" w:rsidRPr="000578E2" w:rsidRDefault="000A2C55" w:rsidP="008F3B18">
      <w:pPr>
        <w:pStyle w:val="Heading2"/>
        <w:spacing w:before="120" w:after="60"/>
      </w:pPr>
      <w:r w:rsidRPr="000578E2">
        <w:t>Market Outlook</w:t>
      </w:r>
    </w:p>
    <w:p w:rsidR="001A5B7F" w:rsidRDefault="001A5B7F" w:rsidP="001A5B7F">
      <w:pPr>
        <w:spacing w:before="120"/>
        <w:jc w:val="both"/>
        <w:rPr>
          <w:rFonts w:eastAsia="Calibri"/>
        </w:rPr>
      </w:pPr>
      <w:r>
        <w:rPr>
          <w:rFonts w:eastAsia="Hiragino Kaku Gothic Pro W6" w:cs="Segoe UI"/>
        </w:rPr>
        <w:t>With the USA market running into bubble territory in terms of its valuation r</w:t>
      </w:r>
      <w:r>
        <w:rPr>
          <w:rFonts w:eastAsia="Calibri"/>
        </w:rPr>
        <w:t>elative to the actual GDP (the Warren Buffe</w:t>
      </w:r>
      <w:r w:rsidR="007D386C">
        <w:rPr>
          <w:rFonts w:eastAsia="Calibri"/>
        </w:rPr>
        <w:t>t indicator)</w:t>
      </w:r>
      <w:r>
        <w:rPr>
          <w:rFonts w:eastAsia="Calibri"/>
        </w:rPr>
        <w:t xml:space="preserve">, </w:t>
      </w:r>
      <w:proofErr w:type="gramStart"/>
      <w:r>
        <w:rPr>
          <w:rFonts w:eastAsia="Calibri"/>
        </w:rPr>
        <w:t>its</w:t>
      </w:r>
      <w:proofErr w:type="gramEnd"/>
      <w:r>
        <w:rPr>
          <w:rFonts w:eastAsia="Calibri"/>
        </w:rPr>
        <w:t xml:space="preserve"> just a matter of time before we get a correction in markets. However the time scale for this pullback is very hard to pick. </w:t>
      </w:r>
    </w:p>
    <w:p w:rsidR="001A5B7F" w:rsidRDefault="001A5B7F" w:rsidP="001A5B7F">
      <w:pPr>
        <w:spacing w:before="120"/>
        <w:jc w:val="both"/>
        <w:rPr>
          <w:rFonts w:eastAsia="Calibri"/>
        </w:rPr>
      </w:pPr>
      <w:r>
        <w:rPr>
          <w:rFonts w:eastAsia="Calibri"/>
        </w:rPr>
        <w:t xml:space="preserve">Governments around the world are determined to expand their budget deficits, debt and </w:t>
      </w:r>
      <w:proofErr w:type="gramStart"/>
      <w:r>
        <w:rPr>
          <w:rFonts w:eastAsia="Calibri"/>
        </w:rPr>
        <w:t>generally  stimulate</w:t>
      </w:r>
      <w:proofErr w:type="gramEnd"/>
      <w:r>
        <w:rPr>
          <w:rFonts w:eastAsia="Calibri"/>
        </w:rPr>
        <w:t xml:space="preserve"> asset</w:t>
      </w:r>
      <w:r w:rsidR="007D386C">
        <w:rPr>
          <w:rFonts w:eastAsia="Calibri"/>
        </w:rPr>
        <w:t xml:space="preserve"> price growth to try and</w:t>
      </w:r>
      <w:r>
        <w:rPr>
          <w:rFonts w:eastAsia="Calibri"/>
        </w:rPr>
        <w:t xml:space="preserve"> stimulate their economies.  This has been going on since 2009 but has accelerated in earnest since </w:t>
      </w:r>
      <w:proofErr w:type="spellStart"/>
      <w:r>
        <w:rPr>
          <w:rFonts w:eastAsia="Calibri"/>
        </w:rPr>
        <w:t>covid</w:t>
      </w:r>
      <w:proofErr w:type="spellEnd"/>
      <w:r>
        <w:rPr>
          <w:rFonts w:eastAsia="Calibri"/>
        </w:rPr>
        <w:t xml:space="preserve"> 19 </w:t>
      </w:r>
      <w:r w:rsidR="007D386C">
        <w:rPr>
          <w:rFonts w:eastAsia="Calibri"/>
        </w:rPr>
        <w:t xml:space="preserve">in 2020 </w:t>
      </w:r>
      <w:r>
        <w:rPr>
          <w:rFonts w:eastAsia="Calibri"/>
        </w:rPr>
        <w:t>disrupted the previous w</w:t>
      </w:r>
      <w:r w:rsidR="007D386C">
        <w:rPr>
          <w:rFonts w:eastAsia="Calibri"/>
        </w:rPr>
        <w:t>ay of running an economy</w:t>
      </w:r>
      <w:r>
        <w:rPr>
          <w:rFonts w:eastAsia="Calibri"/>
        </w:rPr>
        <w:t>.</w:t>
      </w:r>
    </w:p>
    <w:p w:rsidR="001A5B7F" w:rsidRDefault="001A5B7F" w:rsidP="001A5B7F">
      <w:pPr>
        <w:spacing w:before="120"/>
        <w:jc w:val="both"/>
        <w:rPr>
          <w:rFonts w:eastAsia="Calibri"/>
        </w:rPr>
      </w:pPr>
      <w:r>
        <w:rPr>
          <w:rFonts w:eastAsia="Calibri"/>
        </w:rPr>
        <w:t>A surprising number of companies have actually done quite well out of all the</w:t>
      </w:r>
      <w:r w:rsidR="007D386C">
        <w:rPr>
          <w:rFonts w:eastAsia="Calibri"/>
        </w:rPr>
        <w:t xml:space="preserve"> government subsidies</w:t>
      </w:r>
      <w:r>
        <w:rPr>
          <w:rFonts w:eastAsia="Calibri"/>
        </w:rPr>
        <w:t xml:space="preserve">. </w:t>
      </w:r>
    </w:p>
    <w:p w:rsidR="001A5B7F" w:rsidRPr="001A5B7F" w:rsidRDefault="001A5B7F" w:rsidP="001A5B7F">
      <w:pPr>
        <w:spacing w:before="120"/>
        <w:jc w:val="both"/>
        <w:rPr>
          <w:rFonts w:eastAsia="Hiragino Kaku Gothic Pro W6" w:cs="Segoe UI"/>
        </w:rPr>
        <w:sectPr w:rsidR="001A5B7F" w:rsidRPr="001A5B7F" w:rsidSect="00334718">
          <w:type w:val="continuous"/>
          <w:pgSz w:w="11900" w:h="16840"/>
          <w:pgMar w:top="1440" w:right="1410" w:bottom="1440" w:left="1276" w:header="708" w:footer="708" w:gutter="0"/>
          <w:cols w:space="708"/>
        </w:sectPr>
      </w:pPr>
      <w:r>
        <w:rPr>
          <w:rFonts w:eastAsia="Calibri"/>
        </w:rPr>
        <w:t>Technological and social changes continue a</w:t>
      </w:r>
      <w:r w:rsidR="007D386C">
        <w:rPr>
          <w:rFonts w:eastAsia="Calibri"/>
        </w:rPr>
        <w:t xml:space="preserve">t a rapid </w:t>
      </w:r>
      <w:r>
        <w:rPr>
          <w:rFonts w:eastAsia="Calibri"/>
        </w:rPr>
        <w:t xml:space="preserve">pace, and this continues to throw up new opportunities for investment. Many of these disruptive industries are both looking to replace existing businesses, but in addition will create whole new markets for consumers or business.  </w:t>
      </w:r>
      <w:proofErr w:type="gramStart"/>
      <w:r w:rsidR="007D386C">
        <w:rPr>
          <w:rFonts w:eastAsia="Calibri"/>
        </w:rPr>
        <w:t>Its</w:t>
      </w:r>
      <w:proofErr w:type="gramEnd"/>
      <w:r w:rsidR="007D386C">
        <w:rPr>
          <w:rFonts w:eastAsia="Calibri"/>
        </w:rPr>
        <w:t xml:space="preserve"> been a consistent theme for 7 years</w:t>
      </w:r>
      <w:bookmarkStart w:id="0" w:name="_GoBack"/>
      <w:bookmarkEnd w:id="0"/>
      <w:r w:rsidR="007D386C">
        <w:rPr>
          <w:rFonts w:eastAsia="Calibri"/>
        </w:rPr>
        <w:t xml:space="preserve">.  </w:t>
      </w:r>
    </w:p>
    <w:p w:rsidR="00FA00EF" w:rsidRPr="000578E2" w:rsidRDefault="00FA00EF" w:rsidP="004E1B71">
      <w:pPr>
        <w:pStyle w:val="Heading2"/>
        <w:rPr>
          <w:sz w:val="44"/>
        </w:rPr>
      </w:pPr>
      <w:r w:rsidRPr="000578E2">
        <w:rPr>
          <w:sz w:val="44"/>
        </w:rPr>
        <w:lastRenderedPageBreak/>
        <w:t>IMPORTANT INFORMATION</w:t>
      </w:r>
    </w:p>
    <w:p w:rsidR="00FA00EF" w:rsidRPr="000578E2" w:rsidRDefault="00FA00EF" w:rsidP="007D418F"/>
    <w:p w:rsidR="00FA00EF" w:rsidRPr="00BF13DF" w:rsidRDefault="00FA00EF" w:rsidP="000517C1">
      <w:pPr>
        <w:autoSpaceDE w:val="0"/>
        <w:autoSpaceDN w:val="0"/>
        <w:adjustRightInd w:val="0"/>
        <w:spacing w:after="0" w:line="240" w:lineRule="auto"/>
        <w:rPr>
          <w:rFonts w:cs="Arial Narrow"/>
          <w:b/>
          <w:bCs/>
          <w:sz w:val="20"/>
          <w:szCs w:val="20"/>
        </w:rPr>
      </w:pPr>
    </w:p>
    <w:p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rsidR="00BF13DF" w:rsidRPr="00BF13DF" w:rsidRDefault="00BF13DF" w:rsidP="00BF13DF">
      <w:pPr>
        <w:rPr>
          <w:sz w:val="20"/>
          <w:szCs w:val="20"/>
        </w:rPr>
      </w:pPr>
      <w:r w:rsidRPr="00BF13DF">
        <w:rPr>
          <w:sz w:val="20"/>
          <w:szCs w:val="20"/>
        </w:rPr>
        <w:lastRenderedPageBreak/>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rsidR="008D5309" w:rsidRPr="00BF13DF" w:rsidRDefault="008D5309" w:rsidP="008D5309">
      <w:pPr>
        <w:widowControl w:val="0"/>
        <w:autoSpaceDE w:val="0"/>
        <w:autoSpaceDN w:val="0"/>
        <w:adjustRightInd w:val="0"/>
        <w:snapToGrid w:val="0"/>
        <w:spacing w:after="0" w:line="240" w:lineRule="auto"/>
        <w:rPr>
          <w:sz w:val="20"/>
          <w:szCs w:val="20"/>
        </w:rPr>
      </w:pPr>
    </w:p>
    <w:p w:rsidR="00D16B2C" w:rsidRPr="000578E2" w:rsidRDefault="00D16B2C" w:rsidP="00D16B2C">
      <w:pPr>
        <w:spacing w:after="0"/>
        <w:rPr>
          <w:sz w:val="20"/>
          <w:szCs w:val="20"/>
          <w:lang w:val="en-US"/>
        </w:rPr>
      </w:pPr>
      <w:proofErr w:type="gramStart"/>
      <w:r w:rsidRPr="000578E2">
        <w:rPr>
          <w:sz w:val="20"/>
          <w:szCs w:val="20"/>
          <w:lang w:val="en-US"/>
        </w:rPr>
        <w:t xml:space="preserve">Financial commentary contained within this report is provided by </w:t>
      </w:r>
      <w:r>
        <w:rPr>
          <w:sz w:val="20"/>
          <w:szCs w:val="20"/>
          <w:lang w:val="en-US"/>
        </w:rPr>
        <w:t>Aldersley Capital Pty Ltd</w:t>
      </w:r>
      <w:proofErr w:type="gramEnd"/>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rsidR="008D5309" w:rsidRPr="000578E2" w:rsidRDefault="008D5309" w:rsidP="008D5309">
      <w:pPr>
        <w:widowControl w:val="0"/>
        <w:autoSpaceDE w:val="0"/>
        <w:autoSpaceDN w:val="0"/>
        <w:adjustRightInd w:val="0"/>
        <w:snapToGrid w:val="0"/>
        <w:spacing w:after="0" w:line="240" w:lineRule="auto"/>
        <w:rPr>
          <w:sz w:val="20"/>
          <w:szCs w:val="20"/>
        </w:rPr>
      </w:pPr>
    </w:p>
    <w:p w:rsidR="00BF13DF" w:rsidRPr="00BF13DF" w:rsidRDefault="00BF13DF" w:rsidP="00BF13DF">
      <w:pPr>
        <w:rPr>
          <w:rFonts w:cstheme="minorBidi"/>
          <w:sz w:val="20"/>
          <w:szCs w:val="20"/>
        </w:rPr>
      </w:pPr>
      <w:r w:rsidRPr="00BF13DF">
        <w:rPr>
          <w:sz w:val="20"/>
          <w:szCs w:val="20"/>
        </w:rPr>
        <w:t xml:space="preserve">The information in this report is general information only and does not take into account your individual objectives, financial situation, needs or circumstances. No representations or warranties express or </w:t>
      </w:r>
      <w:proofErr w:type="gramStart"/>
      <w:r w:rsidRPr="00BF13DF">
        <w:rPr>
          <w:sz w:val="20"/>
          <w:szCs w:val="20"/>
        </w:rPr>
        <w:t>implied,</w:t>
      </w:r>
      <w:proofErr w:type="gramEnd"/>
      <w:r w:rsidRPr="00BF13DF">
        <w:rPr>
          <w:sz w:val="20"/>
          <w:szCs w:val="20"/>
        </w:rPr>
        <w:t xml:space="preserve">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w:t>
      </w:r>
      <w:proofErr w:type="gramStart"/>
      <w:r w:rsidRPr="00BF13DF">
        <w:rPr>
          <w:sz w:val="20"/>
          <w:szCs w:val="20"/>
        </w:rPr>
        <w:t>neither HUB24 or its directors, employees or agents</w:t>
      </w:r>
      <w:proofErr w:type="gramEnd"/>
      <w:r w:rsidRPr="00BF13DF">
        <w:rPr>
          <w:sz w:val="20"/>
          <w:szCs w:val="20"/>
        </w:rPr>
        <w:t xml:space="preserve"> accept any liability for any loss arising in relation to this report</w:t>
      </w:r>
      <w:r w:rsidRPr="00BF13DF">
        <w:rPr>
          <w:rFonts w:cstheme="minorBidi"/>
          <w:sz w:val="20"/>
          <w:szCs w:val="20"/>
        </w:rPr>
        <w:t xml:space="preserve">. </w:t>
      </w:r>
    </w:p>
    <w:p w:rsidR="00B04DA9" w:rsidRDefault="00B04DA9"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lastRenderedPageBreak/>
        <w:t xml:space="preserve">The suitability of the Service or Fund to your needs and the suitability of a particular Investment Choice </w:t>
      </w:r>
      <w:proofErr w:type="gramStart"/>
      <w:r w:rsidRPr="00BF13DF">
        <w:rPr>
          <w:sz w:val="20"/>
          <w:szCs w:val="20"/>
        </w:rPr>
        <w:t>depends</w:t>
      </w:r>
      <w:proofErr w:type="gramEnd"/>
      <w:r w:rsidRPr="00BF13DF">
        <w:rPr>
          <w:sz w:val="20"/>
          <w:szCs w:val="20"/>
        </w:rPr>
        <w:t xml:space="preserve"> on your individual circumstances and objectives and should be discussed with your Adviser. Potential investors must read the FSG and IDPS Guide and/or Super PDS along with any accompanying materials.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rsidR="008D5309" w:rsidRPr="008D5309" w:rsidRDefault="008D5309" w:rsidP="008D5309">
      <w:pPr>
        <w:widowControl w:val="0"/>
        <w:autoSpaceDE w:val="0"/>
        <w:autoSpaceDN w:val="0"/>
        <w:adjustRightInd w:val="0"/>
        <w:snapToGrid w:val="0"/>
        <w:spacing w:after="0" w:line="240" w:lineRule="auto"/>
        <w:rPr>
          <w:sz w:val="20"/>
          <w:szCs w:val="20"/>
        </w:rPr>
      </w:pPr>
    </w:p>
    <w:p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rsidR="00FA00EF" w:rsidRDefault="00FA00EF" w:rsidP="00EB437E">
      <w:pPr>
        <w:sectPr w:rsidR="00FA00EF" w:rsidSect="009A2283">
          <w:type w:val="continuous"/>
          <w:pgSz w:w="11900" w:h="16840"/>
          <w:pgMar w:top="1440" w:right="1410" w:bottom="1440" w:left="1276" w:header="708" w:footer="708" w:gutter="0"/>
          <w:cols w:num="2" w:space="708"/>
        </w:sectPr>
      </w:pPr>
    </w:p>
    <w:p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7F" w:rsidRDefault="001A5B7F">
      <w:pPr>
        <w:spacing w:after="0" w:line="240" w:lineRule="auto"/>
      </w:pPr>
      <w:r>
        <w:separator/>
      </w:r>
    </w:p>
  </w:endnote>
  <w:endnote w:type="continuationSeparator" w:id="0">
    <w:p w:rsidR="001A5B7F" w:rsidRDefault="001A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iragino Kaku Gothic Pro W6">
    <w:charset w:val="80"/>
    <w:family w:val="swiss"/>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7F" w:rsidRDefault="001A5B7F"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B7F" w:rsidRDefault="001A5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7F" w:rsidRDefault="001A5B7F"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86C">
      <w:rPr>
        <w:rStyle w:val="PageNumber"/>
        <w:noProof/>
      </w:rPr>
      <w:t>3</w:t>
    </w:r>
    <w:r>
      <w:rPr>
        <w:rStyle w:val="PageNumber"/>
      </w:rPr>
      <w:fldChar w:fldCharType="end"/>
    </w:r>
  </w:p>
  <w:p w:rsidR="001A5B7F" w:rsidRDefault="001A5B7F" w:rsidP="007A29C1">
    <w:pPr>
      <w:pStyle w:val="Footer"/>
      <w:jc w:val="center"/>
    </w:pPr>
  </w:p>
  <w:p w:rsidR="001A5B7F" w:rsidRDefault="001A5B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7F" w:rsidRDefault="001A5B7F">
      <w:pPr>
        <w:spacing w:after="0" w:line="240" w:lineRule="auto"/>
      </w:pPr>
      <w:r>
        <w:separator/>
      </w:r>
    </w:p>
  </w:footnote>
  <w:footnote w:type="continuationSeparator" w:id="0">
    <w:p w:rsidR="001A5B7F" w:rsidRDefault="001A5B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1008"/>
    <w:rsid w:val="000D3C30"/>
    <w:rsid w:val="000E71F6"/>
    <w:rsid w:val="000E75EE"/>
    <w:rsid w:val="000F2104"/>
    <w:rsid w:val="000F5F2C"/>
    <w:rsid w:val="00105CC1"/>
    <w:rsid w:val="00121412"/>
    <w:rsid w:val="001231DB"/>
    <w:rsid w:val="00124881"/>
    <w:rsid w:val="00126525"/>
    <w:rsid w:val="0013184D"/>
    <w:rsid w:val="00182271"/>
    <w:rsid w:val="0018386A"/>
    <w:rsid w:val="00197A5A"/>
    <w:rsid w:val="001A0AAF"/>
    <w:rsid w:val="001A3335"/>
    <w:rsid w:val="001A3F41"/>
    <w:rsid w:val="001A591F"/>
    <w:rsid w:val="001A5B7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6142"/>
    <w:rsid w:val="003E2A59"/>
    <w:rsid w:val="003E2DBE"/>
    <w:rsid w:val="003E30A4"/>
    <w:rsid w:val="003E3D17"/>
    <w:rsid w:val="00400995"/>
    <w:rsid w:val="0040653D"/>
    <w:rsid w:val="00431F1A"/>
    <w:rsid w:val="004352D0"/>
    <w:rsid w:val="0043779E"/>
    <w:rsid w:val="004530F2"/>
    <w:rsid w:val="004734B1"/>
    <w:rsid w:val="004737FA"/>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3DA2"/>
    <w:rsid w:val="0060001B"/>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3487"/>
    <w:rsid w:val="00747FE1"/>
    <w:rsid w:val="0078021D"/>
    <w:rsid w:val="00782989"/>
    <w:rsid w:val="00782C51"/>
    <w:rsid w:val="00786FED"/>
    <w:rsid w:val="007A06FD"/>
    <w:rsid w:val="007A29C1"/>
    <w:rsid w:val="007A3851"/>
    <w:rsid w:val="007B0BA3"/>
    <w:rsid w:val="007C6FB8"/>
    <w:rsid w:val="007D386C"/>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5060"/>
    <w:rsid w:val="00973E1B"/>
    <w:rsid w:val="009837EB"/>
    <w:rsid w:val="00992EFD"/>
    <w:rsid w:val="0099426C"/>
    <w:rsid w:val="00994879"/>
    <w:rsid w:val="009A2283"/>
    <w:rsid w:val="009B0ED2"/>
    <w:rsid w:val="009C1C03"/>
    <w:rsid w:val="009D60B5"/>
    <w:rsid w:val="009E2567"/>
    <w:rsid w:val="009F4AEF"/>
    <w:rsid w:val="009F61FC"/>
    <w:rsid w:val="009F6885"/>
    <w:rsid w:val="009F7C60"/>
    <w:rsid w:val="00A10544"/>
    <w:rsid w:val="00A132D1"/>
    <w:rsid w:val="00A23B7D"/>
    <w:rsid w:val="00A5391E"/>
    <w:rsid w:val="00A61BEA"/>
    <w:rsid w:val="00A628A3"/>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400A1"/>
    <w:rsid w:val="00C40B4B"/>
    <w:rsid w:val="00C41111"/>
    <w:rsid w:val="00C468E9"/>
    <w:rsid w:val="00C576B2"/>
    <w:rsid w:val="00C64E9B"/>
    <w:rsid w:val="00C652EB"/>
    <w:rsid w:val="00C919CE"/>
    <w:rsid w:val="00C91ECE"/>
    <w:rsid w:val="00C962FB"/>
    <w:rsid w:val="00CA331E"/>
    <w:rsid w:val="00CD7C85"/>
    <w:rsid w:val="00CE001F"/>
    <w:rsid w:val="00CE4E39"/>
    <w:rsid w:val="00CF40EA"/>
    <w:rsid w:val="00CF5A14"/>
    <w:rsid w:val="00D02BD5"/>
    <w:rsid w:val="00D042C6"/>
    <w:rsid w:val="00D16B2C"/>
    <w:rsid w:val="00D20E37"/>
    <w:rsid w:val="00D52BF6"/>
    <w:rsid w:val="00D550CD"/>
    <w:rsid w:val="00D66D3E"/>
    <w:rsid w:val="00D7053D"/>
    <w:rsid w:val="00D752F3"/>
    <w:rsid w:val="00D87D5D"/>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7C5B"/>
    <w:rsid w:val="00F518A1"/>
    <w:rsid w:val="00F51936"/>
    <w:rsid w:val="00F53566"/>
    <w:rsid w:val="00F727FB"/>
    <w:rsid w:val="00F86FEA"/>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3321-3316-6748-905E-E2D1062F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1012</Words>
  <Characters>5773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2020-11-05T11:46:00Z</dcterms:created>
  <dcterms:modified xsi:type="dcterms:W3CDTF">2020-11-05T11:46:00Z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-5.30</vt:lpwstr>
  </property>
  <property fmtid="{D5CDD505-2E9C-101B-9397-08002B2CF9AE}" pid="6" name="Portfolio3Month">
    <vt:lpwstr>1.22</vt:lpwstr>
  </property>
  <property fmtid="{D5CDD505-2E9C-101B-9397-08002B2CF9AE}" pid="7" name="Portfolio6Month">
    <vt:lpwstr>30.27</vt:lpwstr>
  </property>
  <property fmtid="{D5CDD505-2E9C-101B-9397-08002B2CF9AE}" pid="8" name="Portfolio12Month">
    <vt:lpwstr>21.88</vt:lpwstr>
  </property>
  <property fmtid="{D5CDD505-2E9C-101B-9397-08002B2CF9AE}" pid="9" name="Portfolio3Years">
    <vt:lpwstr>16.83</vt:lpwstr>
  </property>
  <property fmtid="{D5CDD505-2E9C-101B-9397-08002B2CF9AE}" pid="10" name="PortfolioInceptionPa">
    <vt:lpwstr>11.70</vt:lpwstr>
  </property>
  <property fmtid="{D5CDD505-2E9C-101B-9397-08002B2CF9AE}" pid="11" name="Benchmark1Month">
    <vt:lpwstr>-3.66</vt:lpwstr>
  </property>
  <property fmtid="{D5CDD505-2E9C-101B-9397-08002B2CF9AE}" pid="12" name="Benchmark3Month">
    <vt:lpwstr>-0.44</vt:lpwstr>
  </property>
  <property fmtid="{D5CDD505-2E9C-101B-9397-08002B2CF9AE}" pid="13" name="Benchmark6Month">
    <vt:lpwstr>15.97</vt:lpwstr>
  </property>
  <property fmtid="{D5CDD505-2E9C-101B-9397-08002B2CF9AE}" pid="14" name="Benchmark12Month">
    <vt:lpwstr>-10.18</vt:lpwstr>
  </property>
  <property fmtid="{D5CDD505-2E9C-101B-9397-08002B2CF9AE}" pid="15" name="Benchmark3Years">
    <vt:lpwstr>4.79</vt:lpwstr>
  </property>
  <property fmtid="{D5CDD505-2E9C-101B-9397-08002B2CF9AE}" pid="16" name="BenchmarkInceptionPa">
    <vt:lpwstr>5.36</vt:lpwstr>
  </property>
  <property fmtid="{D5CDD505-2E9C-101B-9397-08002B2CF9AE}" pid="17" name="Relative1Month">
    <vt:lpwstr>-1.64</vt:lpwstr>
  </property>
  <property fmtid="{D5CDD505-2E9C-101B-9397-08002B2CF9AE}" pid="18" name="Relative3Month">
    <vt:lpwstr>1.66</vt:lpwstr>
  </property>
  <property fmtid="{D5CDD505-2E9C-101B-9397-08002B2CF9AE}" pid="19" name="Relative6Month">
    <vt:lpwstr>14.30</vt:lpwstr>
  </property>
  <property fmtid="{D5CDD505-2E9C-101B-9397-08002B2CF9AE}" pid="20" name="Relative12Month">
    <vt:lpwstr>32.06</vt:lpwstr>
  </property>
  <property fmtid="{D5CDD505-2E9C-101B-9397-08002B2CF9AE}" pid="21" name="Relative3Years">
    <vt:lpwstr>12.04</vt:lpwstr>
  </property>
  <property fmtid="{D5CDD505-2E9C-101B-9397-08002B2CF9AE}" pid="22" name="RelativeInceptionPa">
    <vt:lpwstr>6.34</vt:lpwstr>
  </property>
</Properties>
</file>