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6" w:rsidRPr="000578E2" w:rsidRDefault="00F15E3F" w:rsidP="00D042C6">
      <w:pPr>
        <w:spacing w:after="0"/>
        <w:rPr>
          <w:b/>
          <w:color w:val="595959"/>
          <w:sz w:val="40"/>
        </w:rPr>
      </w:pPr>
      <w:r>
        <w:rPr>
          <w:b/>
          <w:noProof/>
          <w:color w:val="595959"/>
          <w:sz w:val="40"/>
          <w:lang w:val="en-US"/>
        </w:rPr>
        <w:drawing>
          <wp:inline distT="0" distB="0" distL="0" distR="0">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7280" cy="1038334"/>
                    </a:xfrm>
                    <a:prstGeom prst="rect">
                      <a:avLst/>
                    </a:prstGeom>
                  </pic:spPr>
                </pic:pic>
              </a:graphicData>
            </a:graphic>
          </wp:inline>
        </w:drawing>
      </w:r>
    </w:p>
    <w:p w:rsidR="00073D80" w:rsidRPr="000578E2" w:rsidRDefault="000A2C55" w:rsidP="00D042C6">
      <w:pPr>
        <w:spacing w:after="0"/>
        <w:rPr>
          <w:b/>
          <w:color w:val="595959"/>
          <w:sz w:val="40"/>
        </w:rPr>
      </w:pPr>
      <w:r>
        <w:rPr>
          <w:b/>
          <w:color w:val="595959"/>
          <w:sz w:val="40"/>
        </w:rPr>
        <w:t>AC Managed Equity Portfolio</w:t>
      </w:r>
    </w:p>
    <w:p w:rsidR="00D042C6" w:rsidRPr="000578E2" w:rsidRDefault="000A2C55" w:rsidP="00D042C6">
      <w:pPr>
        <w:spacing w:after="0"/>
        <w:rPr>
          <w:b/>
          <w:color w:val="595959"/>
          <w:sz w:val="40"/>
        </w:rPr>
      </w:pPr>
      <w:r>
        <w:rPr>
          <w:b/>
          <w:color w:val="595959"/>
          <w:sz w:val="40"/>
        </w:rPr>
        <w:t>December 2020</w:t>
      </w:r>
      <w:r w:rsidR="00D042C6" w:rsidRPr="000578E2">
        <w:rPr>
          <w:b/>
          <w:color w:val="595959"/>
          <w:sz w:val="40"/>
        </w:rPr>
        <w:t xml:space="preserve"> Quarterly Review</w:t>
      </w:r>
    </w:p>
    <w:p w:rsidR="00334718" w:rsidRPr="000578E2" w:rsidRDefault="00334718" w:rsidP="008D5309">
      <w:pPr>
        <w:pStyle w:val="Heading2"/>
        <w:spacing w:before="480"/>
        <w:sectPr w:rsidR="00334718" w:rsidRPr="000578E2" w:rsidSect="009A2283">
          <w:footerReference w:type="even" r:id="rId10"/>
          <w:footerReference w:type="default" r:id="rId11"/>
          <w:type w:val="continuous"/>
          <w:pgSz w:w="11900" w:h="16840"/>
          <w:pgMar w:top="1440" w:right="1410" w:bottom="1440" w:left="1276" w:header="708" w:footer="708" w:gutter="0"/>
          <w:cols w:space="708"/>
        </w:sectPr>
      </w:pPr>
    </w:p>
    <w:p w:rsidR="008F3B18" w:rsidRPr="000578E2" w:rsidRDefault="008F3B18" w:rsidP="008F3B18">
      <w:pPr>
        <w:spacing w:before="120"/>
        <w:jc w:val="both"/>
      </w:pPr>
    </w:p>
    <w:p w:rsidR="00FA00EF" w:rsidRPr="000578E2" w:rsidRDefault="000A2C55" w:rsidP="008F3B18">
      <w:pPr>
        <w:pStyle w:val="Heading2"/>
        <w:spacing w:before="120" w:after="60"/>
      </w:pPr>
      <w:r w:rsidRPr="000578E2">
        <w:t>Portfolio Performance</w:t>
      </w:r>
    </w:p>
    <w:p w:rsidR="00FA00EF" w:rsidRPr="000578E2" w:rsidRDefault="00FA00EF" w:rsidP="008F3B18">
      <w:pPr>
        <w:spacing w:before="120"/>
        <w:ind w:right="-142"/>
        <w:sectPr w:rsidR="00FA00EF" w:rsidRPr="000578E2" w:rsidSect="00334718">
          <w:type w:val="continuous"/>
          <w:pgSz w:w="11900" w:h="16840"/>
          <w:pgMar w:top="1440" w:right="1410" w:bottom="1440" w:left="1276" w:header="708" w:footer="708" w:gutter="0"/>
          <w:cols w:space="708"/>
        </w:sectPr>
      </w:pPr>
    </w:p>
    <w:p w:rsidR="00D16B2C" w:rsidRPr="000578E2" w:rsidRDefault="00D16B2C" w:rsidP="008F3B18">
      <w:pPr>
        <w:spacing w:before="120"/>
        <w:jc w:val="both"/>
        <w:rPr>
          <w:rFonts w:eastAsia="Hiragino Kaku Gothic Pro W6" w:cs="Segoe UI"/>
        </w:rPr>
      </w:pPr>
      <w:r w:rsidRPr="000578E2">
        <w:rPr>
          <w:rFonts w:eastAsia="Hiragino Kaku Gothic Pro W6" w:cs="Segoe UI"/>
        </w:rPr>
        <w:lastRenderedPageBreak/>
        <w:t xml:space="preserve">The </w:t>
      </w:r>
      <w:r>
        <w:rPr>
          <w:rFonts w:eastAsia="Hiragino Kaku Gothic Pro W6" w:cs="Segoe UI"/>
        </w:rPr>
        <w:t>AC Managed Equity Portfolio</w:t>
      </w:r>
      <w:r w:rsidR="00073D80" w:rsidRPr="000578E2">
        <w:rPr>
          <w:rFonts w:eastAsia="Hiragino Kaku Gothic Pro W6" w:cs="Segoe UI"/>
        </w:rPr>
        <w:t xml:space="preserve"> </w:t>
      </w:r>
      <w:r w:rsidRPr="000578E2">
        <w:rPr>
          <w:rFonts w:eastAsia="Hiragino Kaku Gothic Pro W6" w:cs="Segoe UI"/>
        </w:rPr>
        <w:t xml:space="preserve">returned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Portfolio3Month  \* MERGEFORMAT </w:instrText>
      </w:r>
      <w:r w:rsidR="00866748" w:rsidRPr="00720B1A">
        <w:rPr>
          <w:rFonts w:eastAsia="Hiragino Kaku Gothic Pro W6" w:cs="Segoe UI"/>
        </w:rPr>
        <w:fldChar w:fldCharType="separate"/>
      </w:r>
      <w:r w:rsidR="00866748" w:rsidRPr="00720B1A">
        <w:rPr>
          <w:rFonts w:eastAsia="Hiragino Kaku Gothic Pro W6" w:cs="Segoe UI"/>
        </w:rPr>
        <w:t>28.85</w:t>
      </w:r>
      <w:r w:rsidR="00866748" w:rsidRPr="00720B1A">
        <w:rPr>
          <w:rFonts w:eastAsia="Hiragino Kaku Gothic Pro W6" w:cs="Segoe UI"/>
        </w:rPr>
        <w:fldChar w:fldCharType="end"/>
      </w:r>
      <w:r w:rsidR="00E330B1" w:rsidRPr="00720B1A">
        <w:rPr>
          <w:rFonts w:eastAsia="Hiragino Kaku Gothic Pro W6" w:cs="Segoe UI"/>
        </w:rPr>
        <w:t>%</w:t>
      </w:r>
      <w:r w:rsidR="00930436">
        <w:rPr>
          <w:rFonts w:eastAsia="Hiragino Kaku Gothic Pro W6" w:cs="Segoe UI"/>
        </w:rPr>
        <w:t xml:space="preserve"> compared to the benchmark </w:t>
      </w:r>
      <w:r>
        <w:rPr>
          <w:rFonts w:eastAsia="Hiragino Kaku Gothic Pro W6" w:cs="Segoe UI"/>
        </w:rPr>
        <w:t xml:space="preserve">S&amp;P/ASX 200 (TR) </w:t>
      </w:r>
      <w:r w:rsidRPr="000578E2">
        <w:rPr>
          <w:rFonts w:eastAsia="Hiragino Kaku Gothic Pro W6" w:cs="Segoe UI"/>
        </w:rPr>
        <w:t xml:space="preserve">return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Benchmark3Month  \* MERGEFORMAT </w:instrText>
      </w:r>
      <w:r w:rsidR="00866748" w:rsidRPr="00720B1A">
        <w:rPr>
          <w:rFonts w:eastAsia="Hiragino Kaku Gothic Pro W6" w:cs="Segoe UI"/>
        </w:rPr>
        <w:fldChar w:fldCharType="separate"/>
      </w:r>
      <w:r w:rsidR="00866748" w:rsidRPr="00720B1A">
        <w:rPr>
          <w:rFonts w:eastAsia="Hiragino Kaku Gothic Pro W6" w:cs="Segoe UI"/>
        </w:rPr>
        <w:t>13.70</w:t>
      </w:r>
      <w:r w:rsidR="00866748" w:rsidRPr="00720B1A">
        <w:rPr>
          <w:rFonts w:eastAsia="Hiragino Kaku Gothic Pro W6" w:cs="Segoe UI"/>
        </w:rPr>
        <w:fldChar w:fldCharType="end"/>
      </w:r>
      <w:r w:rsidR="00E330B1" w:rsidRPr="00720B1A">
        <w:rPr>
          <w:rFonts w:eastAsia="Hiragino Kaku Gothic Pro W6" w:cs="Segoe UI"/>
        </w:rPr>
        <w:t>%</w:t>
      </w:r>
      <w:r w:rsidRPr="000578E2">
        <w:rPr>
          <w:rFonts w:eastAsia="Hiragino Kaku Gothic Pro W6" w:cs="Segoe UI"/>
        </w:rPr>
        <w:t xml:space="preserve"> giving a relative performance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Relative3Month  \* MERGEFORMAT </w:instrText>
      </w:r>
      <w:r w:rsidR="00866748" w:rsidRPr="00720B1A">
        <w:rPr>
          <w:rFonts w:eastAsia="Hiragino Kaku Gothic Pro W6" w:cs="Segoe UI"/>
        </w:rPr>
        <w:fldChar w:fldCharType="separate"/>
      </w:r>
      <w:r w:rsidR="00866748" w:rsidRPr="00720B1A">
        <w:rPr>
          <w:rFonts w:eastAsia="Hiragino Kaku Gothic Pro W6" w:cs="Segoe UI"/>
        </w:rPr>
        <w:t>15.15</w:t>
      </w:r>
      <w:r w:rsidR="00866748" w:rsidRPr="00720B1A">
        <w:rPr>
          <w:rFonts w:eastAsia="Hiragino Kaku Gothic Pro W6" w:cs="Segoe UI"/>
        </w:rPr>
        <w:fldChar w:fldCharType="end"/>
      </w:r>
      <w:r w:rsidR="00E330B1" w:rsidRPr="00720B1A">
        <w:rPr>
          <w:rFonts w:eastAsia="Hiragino Kaku Gothic Pro W6" w:cs="Segoe UI"/>
        </w:rPr>
        <w:t>%</w:t>
      </w:r>
      <w:r w:rsidR="000A2C55" w:rsidRPr="000578E2">
        <w:rPr>
          <w:rFonts w:eastAsia="Hiragino Kaku Gothic Pro W6" w:cs="Segoe UI"/>
        </w:rPr>
        <w:t xml:space="preserve"> </w:t>
      </w:r>
      <w:r w:rsidRPr="000578E2">
        <w:rPr>
          <w:rFonts w:eastAsia="Hiragino Kaku Gothic Pro W6" w:cs="Segoe UI"/>
        </w:rPr>
        <w:t>for the period.</w:t>
      </w:r>
    </w:p>
    <w:p w:rsidR="008F3B18" w:rsidRPr="000578E2" w:rsidRDefault="008F3B18" w:rsidP="008F3B18">
      <w:pPr>
        <w:spacing w:before="120"/>
        <w:jc w:val="both"/>
        <w:rPr>
          <w:rFonts w:eastAsia="Hiragino Kaku Gothic Pro W6" w:cs="Segoe UI"/>
        </w:rPr>
      </w:pPr>
    </w:p>
    <w:p w:rsidR="0056204C" w:rsidRPr="000578E2" w:rsidRDefault="0056204C" w:rsidP="0056204C">
      <w:pPr>
        <w:pStyle w:val="Heading2"/>
        <w:spacing w:before="0"/>
        <w:rPr>
          <w:sz w:val="24"/>
          <w:szCs w:val="24"/>
        </w:rPr>
      </w:pPr>
      <w:r w:rsidRPr="000578E2">
        <w:rPr>
          <w:sz w:val="24"/>
          <w:szCs w:val="24"/>
        </w:rPr>
        <w:t xml:space="preserve">Performance to </w:t>
      </w:r>
      <w:r>
        <w:rPr>
          <w:sz w:val="24"/>
          <w:szCs w:val="24"/>
        </w:rPr>
        <w:t>31 December 2020</w:t>
      </w:r>
    </w:p>
    <w:tbl>
      <w:tblPr>
        <w:tblW w:w="9214" w:type="dxa"/>
        <w:tblInd w:w="108" w:type="dxa"/>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Layout w:type="fixed"/>
        <w:tblLook w:val="04A0" w:firstRow="1" w:lastRow="0" w:firstColumn="1" w:lastColumn="0" w:noHBand="0" w:noVBand="1"/>
      </w:tblPr>
      <w:tblGrid>
        <w:gridCol w:w="1329"/>
        <w:gridCol w:w="1365"/>
        <w:gridCol w:w="1275"/>
        <w:gridCol w:w="1276"/>
        <w:gridCol w:w="1276"/>
        <w:gridCol w:w="1276"/>
        <w:gridCol w:w="1417"/>
      </w:tblGrid>
      <w:tr w:rsidR="00334718" w:rsidRPr="000578E2" w:rsidTr="008F3B18">
        <w:trPr>
          <w:trHeight w:val="1021"/>
        </w:trPr>
        <w:tc>
          <w:tcPr>
            <w:tcW w:w="1329"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Return %</w:t>
            </w:r>
          </w:p>
        </w:tc>
        <w:tc>
          <w:tcPr>
            <w:tcW w:w="136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Month</w:t>
            </w:r>
          </w:p>
        </w:tc>
        <w:tc>
          <w:tcPr>
            <w:tcW w:w="127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Six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Year</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Year</w:t>
            </w:r>
          </w:p>
        </w:tc>
        <w:tc>
          <w:tcPr>
            <w:tcW w:w="1417"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Since</w:t>
            </w:r>
            <w:r w:rsidRPr="000578E2">
              <w:rPr>
                <w:rFonts w:eastAsia="Hiragino Kaku Gothic Pro W6" w:cs="Segoe UI"/>
                <w:sz w:val="20"/>
                <w:szCs w:val="20"/>
              </w:rPr>
              <w:br/>
              <w:t>Inception (</w:t>
            </w:r>
            <w:r>
              <w:rPr>
                <w:rFonts w:eastAsia="Hiragino Kaku Gothic Pro W6" w:cs="Segoe UI"/>
                <w:sz w:val="20"/>
                <w:szCs w:val="20"/>
              </w:rPr>
              <w:t>29/10/2013</w:t>
            </w:r>
            <w:r w:rsidRPr="000578E2">
              <w:rPr>
                <w:rFonts w:eastAsia="Hiragino Kaku Gothic Pro W6" w:cs="Segoe UI"/>
                <w:sz w:val="20"/>
                <w:szCs w:val="20"/>
              </w:rPr>
              <w:t>)</w:t>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Portfolio</w:t>
            </w:r>
          </w:p>
        </w:tc>
        <w:tc>
          <w:tcPr>
            <w:tcW w:w="1365" w:type="dxa"/>
            <w:shd w:val="clear" w:color="auto" w:fill="auto"/>
            <w:vAlign w:val="center"/>
          </w:tcPr>
          <w:p w:rsidR="00334718" w:rsidRPr="000578E2" w:rsidRDefault="000939CB"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Portfolio1Month  \* MERGEFORMAT </w:instrText>
            </w:r>
            <w:r w:rsidRPr="000578E2">
              <w:rPr>
                <w:color w:val="000000"/>
                <w:sz w:val="20"/>
                <w:szCs w:val="20"/>
              </w:rPr>
              <w:fldChar w:fldCharType="separate"/>
            </w:r>
            <w:r w:rsidRPr="000578E2">
              <w:rPr>
                <w:color w:val="000000"/>
                <w:sz w:val="20"/>
                <w:szCs w:val="20"/>
              </w:rPr>
              <w:t>3.01</w:t>
            </w:r>
            <w:r w:rsidRPr="000578E2">
              <w:rPr>
                <w:color w:val="000000"/>
                <w:sz w:val="20"/>
                <w:szCs w:val="20"/>
              </w:rPr>
              <w:fldChar w:fldCharType="end"/>
            </w:r>
          </w:p>
        </w:tc>
        <w:tc>
          <w:tcPr>
            <w:tcW w:w="1275" w:type="dxa"/>
            <w:shd w:val="clear" w:color="auto" w:fill="auto"/>
            <w:vAlign w:val="center"/>
          </w:tcPr>
          <w:p w:rsidR="00334718" w:rsidRPr="000578E2" w:rsidRDefault="00DC7EC9"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Portfolio3Month  \* MERGEFORMAT </w:instrText>
            </w:r>
            <w:r w:rsidRPr="000578E2">
              <w:rPr>
                <w:color w:val="000000"/>
                <w:sz w:val="20"/>
                <w:szCs w:val="20"/>
              </w:rPr>
              <w:fldChar w:fldCharType="separate"/>
            </w:r>
            <w:r w:rsidRPr="000578E2">
              <w:rPr>
                <w:color w:val="000000"/>
                <w:sz w:val="20"/>
                <w:szCs w:val="20"/>
              </w:rPr>
              <w:t>28.85</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Portfolio6Month  \* MERGEFORMAT </w:instrText>
            </w:r>
            <w:r w:rsidRPr="000578E2">
              <w:rPr>
                <w:color w:val="000000"/>
                <w:sz w:val="20"/>
                <w:szCs w:val="20"/>
              </w:rPr>
              <w:fldChar w:fldCharType="separate"/>
            </w:r>
            <w:r w:rsidRPr="000578E2">
              <w:rPr>
                <w:color w:val="000000"/>
                <w:sz w:val="20"/>
                <w:szCs w:val="20"/>
              </w:rPr>
              <w:t>30.43</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Portfolio12Month  \* MERGEFORMAT </w:instrText>
            </w:r>
            <w:r w:rsidRPr="000578E2">
              <w:rPr>
                <w:color w:val="000000"/>
                <w:sz w:val="20"/>
                <w:szCs w:val="20"/>
              </w:rPr>
              <w:fldChar w:fldCharType="separate"/>
            </w:r>
            <w:r w:rsidRPr="000578E2">
              <w:rPr>
                <w:color w:val="000000"/>
                <w:sz w:val="20"/>
                <w:szCs w:val="20"/>
              </w:rPr>
              <w:t>59.09</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Portfolio3Years  \* MERGEFORMAT </w:instrText>
            </w:r>
            <w:r w:rsidRPr="000578E2">
              <w:rPr>
                <w:color w:val="000000"/>
                <w:sz w:val="20"/>
                <w:szCs w:val="20"/>
              </w:rPr>
              <w:fldChar w:fldCharType="separate"/>
            </w:r>
            <w:r w:rsidRPr="000578E2">
              <w:rPr>
                <w:color w:val="000000"/>
                <w:sz w:val="20"/>
                <w:szCs w:val="20"/>
              </w:rPr>
              <w:t>19.81</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PortfolioInceptionPa  \* MERGEFORMAT </w:instrText>
            </w:r>
            <w:r w:rsidRPr="000578E2">
              <w:rPr>
                <w:color w:val="000000"/>
                <w:sz w:val="20"/>
                <w:szCs w:val="20"/>
              </w:rPr>
              <w:fldChar w:fldCharType="separate"/>
            </w:r>
            <w:r w:rsidRPr="000578E2">
              <w:rPr>
                <w:color w:val="000000"/>
                <w:sz w:val="20"/>
                <w:szCs w:val="20"/>
              </w:rPr>
              <w:t>15.27</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Benchmark</w:t>
            </w:r>
          </w:p>
        </w:tc>
        <w:tc>
          <w:tcPr>
            <w:tcW w:w="136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Benchmark1Month  \* MERGEFORMAT </w:instrText>
            </w:r>
            <w:r w:rsidRPr="000578E2">
              <w:rPr>
                <w:color w:val="000000"/>
                <w:sz w:val="20"/>
                <w:szCs w:val="20"/>
              </w:rPr>
              <w:fldChar w:fldCharType="separate"/>
            </w:r>
            <w:r w:rsidRPr="000578E2">
              <w:rPr>
                <w:color w:val="000000"/>
                <w:sz w:val="20"/>
                <w:szCs w:val="20"/>
              </w:rPr>
              <w:t>1.21</w:t>
            </w:r>
            <w:r w:rsidRPr="000578E2">
              <w:rPr>
                <w:color w:val="000000"/>
                <w:sz w:val="20"/>
                <w:szCs w:val="20"/>
              </w:rPr>
              <w:fldChar w:fldCharType="end"/>
            </w:r>
          </w:p>
        </w:tc>
        <w:tc>
          <w:tcPr>
            <w:tcW w:w="127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Benchmark3Month  \* MERGEFORMAT </w:instrText>
            </w:r>
            <w:r w:rsidRPr="000578E2">
              <w:rPr>
                <w:color w:val="000000"/>
                <w:sz w:val="20"/>
                <w:szCs w:val="20"/>
              </w:rPr>
              <w:fldChar w:fldCharType="separate"/>
            </w:r>
            <w:r w:rsidRPr="000578E2">
              <w:rPr>
                <w:color w:val="000000"/>
                <w:sz w:val="20"/>
                <w:szCs w:val="20"/>
              </w:rPr>
              <w:t>13.70</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Benchmark6Month  \* MERGEFORMAT </w:instrText>
            </w:r>
            <w:r w:rsidRPr="000578E2">
              <w:rPr>
                <w:color w:val="000000"/>
                <w:sz w:val="20"/>
                <w:szCs w:val="20"/>
              </w:rPr>
              <w:fldChar w:fldCharType="separate"/>
            </w:r>
            <w:r w:rsidRPr="000578E2">
              <w:rPr>
                <w:color w:val="000000"/>
                <w:sz w:val="20"/>
                <w:szCs w:val="20"/>
              </w:rPr>
              <w:t>13.20</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Benchmark12Month  \* MERGEFORMAT </w:instrText>
            </w:r>
            <w:r w:rsidRPr="000578E2">
              <w:rPr>
                <w:color w:val="000000"/>
                <w:sz w:val="20"/>
                <w:szCs w:val="20"/>
              </w:rPr>
              <w:fldChar w:fldCharType="separate"/>
            </w:r>
            <w:r w:rsidRPr="000578E2">
              <w:rPr>
                <w:color w:val="000000"/>
                <w:sz w:val="20"/>
                <w:szCs w:val="20"/>
              </w:rPr>
              <w:t>1.40</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Benchmark3Years  \* MERGEFORMAT </w:instrText>
            </w:r>
            <w:r w:rsidRPr="000578E2">
              <w:rPr>
                <w:color w:val="000000"/>
                <w:sz w:val="20"/>
                <w:szCs w:val="20"/>
              </w:rPr>
              <w:fldChar w:fldCharType="separate"/>
            </w:r>
            <w:r w:rsidRPr="000578E2">
              <w:rPr>
                <w:color w:val="000000"/>
                <w:sz w:val="20"/>
                <w:szCs w:val="20"/>
              </w:rPr>
              <w:t>6.72</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BenchmarkInceptionPa  \* MERGEFORMAT </w:instrText>
            </w:r>
            <w:r w:rsidRPr="000578E2">
              <w:rPr>
                <w:color w:val="000000"/>
                <w:sz w:val="20"/>
                <w:szCs w:val="20"/>
              </w:rPr>
              <w:fldChar w:fldCharType="separate"/>
            </w:r>
            <w:r w:rsidRPr="000578E2">
              <w:rPr>
                <w:color w:val="000000"/>
                <w:sz w:val="20"/>
                <w:szCs w:val="20"/>
              </w:rPr>
              <w:t>7.06</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b/>
                <w:sz w:val="20"/>
                <w:szCs w:val="20"/>
              </w:rPr>
            </w:pPr>
            <w:r w:rsidRPr="000578E2">
              <w:rPr>
                <w:rFonts w:eastAsia="Hiragino Kaku Gothic Pro W6" w:cs="Segoe UI"/>
                <w:b/>
                <w:sz w:val="20"/>
                <w:szCs w:val="20"/>
              </w:rPr>
              <w:t>Relative Performance</w:t>
            </w:r>
          </w:p>
        </w:tc>
        <w:tc>
          <w:tcPr>
            <w:tcW w:w="136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Relative1Month  \* MERGEFORMAT </w:instrText>
            </w:r>
            <w:r w:rsidRPr="000578E2">
              <w:rPr>
                <w:b/>
                <w:color w:val="000000"/>
                <w:sz w:val="20"/>
                <w:szCs w:val="20"/>
              </w:rPr>
              <w:fldChar w:fldCharType="separate"/>
            </w:r>
            <w:r w:rsidRPr="000578E2">
              <w:rPr>
                <w:b/>
                <w:color w:val="000000"/>
                <w:sz w:val="20"/>
                <w:szCs w:val="20"/>
              </w:rPr>
              <w:t>1.80</w:t>
            </w:r>
            <w:r w:rsidRPr="000578E2">
              <w:rPr>
                <w:b/>
                <w:color w:val="000000"/>
                <w:sz w:val="20"/>
                <w:szCs w:val="20"/>
              </w:rPr>
              <w:fldChar w:fldCharType="end"/>
            </w:r>
          </w:p>
        </w:tc>
        <w:tc>
          <w:tcPr>
            <w:tcW w:w="127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Relative3Month  \* MERGEFORMAT </w:instrText>
            </w:r>
            <w:r w:rsidRPr="000578E2">
              <w:rPr>
                <w:b/>
                <w:color w:val="000000"/>
                <w:sz w:val="20"/>
                <w:szCs w:val="20"/>
              </w:rPr>
              <w:fldChar w:fldCharType="separate"/>
            </w:r>
            <w:r w:rsidRPr="000578E2">
              <w:rPr>
                <w:b/>
                <w:color w:val="000000"/>
                <w:sz w:val="20"/>
                <w:szCs w:val="20"/>
              </w:rPr>
              <w:t>15.15</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Relative6Month  \* MERGEFORMAT </w:instrText>
            </w:r>
            <w:r w:rsidRPr="000578E2">
              <w:rPr>
                <w:b/>
                <w:color w:val="000000"/>
                <w:sz w:val="20"/>
                <w:szCs w:val="20"/>
              </w:rPr>
              <w:fldChar w:fldCharType="separate"/>
            </w:r>
            <w:r w:rsidRPr="000578E2">
              <w:rPr>
                <w:b/>
                <w:color w:val="000000"/>
                <w:sz w:val="20"/>
                <w:szCs w:val="20"/>
              </w:rPr>
              <w:t>17.23</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Relative12Month  \* MERGEFORMAT </w:instrText>
            </w:r>
            <w:r w:rsidRPr="000578E2">
              <w:rPr>
                <w:b/>
                <w:color w:val="000000"/>
                <w:sz w:val="20"/>
                <w:szCs w:val="20"/>
              </w:rPr>
              <w:fldChar w:fldCharType="separate"/>
            </w:r>
            <w:r w:rsidRPr="000578E2">
              <w:rPr>
                <w:b/>
                <w:color w:val="000000"/>
                <w:sz w:val="20"/>
                <w:szCs w:val="20"/>
              </w:rPr>
              <w:t>57.69</w:t>
            </w:r>
            <w:r w:rsidRPr="000578E2">
              <w:rPr>
                <w:b/>
                <w:color w:val="000000"/>
                <w:sz w:val="20"/>
                <w:szCs w:val="20"/>
              </w:rPr>
              <w:fldChar w:fldCharType="end"/>
            </w:r>
          </w:p>
        </w:tc>
        <w:tc>
          <w:tcPr>
            <w:tcW w:w="1276" w:type="dxa"/>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Relative3Years  \* MERGEFORMAT </w:instrText>
            </w:r>
            <w:r w:rsidRPr="000578E2">
              <w:rPr>
                <w:b/>
                <w:color w:val="000000"/>
                <w:sz w:val="20"/>
                <w:szCs w:val="20"/>
              </w:rPr>
              <w:fldChar w:fldCharType="separate"/>
            </w:r>
            <w:r w:rsidRPr="000578E2">
              <w:rPr>
                <w:b/>
                <w:color w:val="000000"/>
                <w:sz w:val="20"/>
                <w:szCs w:val="20"/>
              </w:rPr>
              <w:t>13.09</w:t>
            </w:r>
            <w:r w:rsidRPr="000578E2">
              <w:rPr>
                <w:b/>
                <w:color w:val="000000"/>
                <w:sz w:val="20"/>
                <w:szCs w:val="20"/>
              </w:rPr>
              <w:fldChar w:fldCharType="end"/>
            </w:r>
          </w:p>
        </w:tc>
        <w:tc>
          <w:tcPr>
            <w:tcW w:w="1417"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RelativeInceptionPa  \* MERGEFORMAT </w:instrText>
            </w:r>
            <w:r w:rsidRPr="000578E2">
              <w:rPr>
                <w:b/>
                <w:color w:val="000000"/>
                <w:sz w:val="20"/>
                <w:szCs w:val="20"/>
              </w:rPr>
              <w:fldChar w:fldCharType="separate"/>
            </w:r>
            <w:r w:rsidRPr="000578E2">
              <w:rPr>
                <w:b/>
                <w:color w:val="000000"/>
                <w:sz w:val="20"/>
                <w:szCs w:val="20"/>
              </w:rPr>
              <w:t>8.21</w:t>
            </w:r>
            <w:r w:rsidRPr="000578E2">
              <w:rPr>
                <w:b/>
                <w:color w:val="000000"/>
                <w:sz w:val="20"/>
                <w:szCs w:val="20"/>
              </w:rPr>
              <w:fldChar w:fldCharType="end"/>
            </w:r>
          </w:p>
        </w:tc>
      </w:tr>
    </w:tbl>
    <w:p w:rsidR="008D5309" w:rsidRPr="000578E2" w:rsidRDefault="008D5309" w:rsidP="008D5309">
      <w:pPr>
        <w:spacing w:after="0"/>
        <w:jc w:val="both"/>
        <w:rPr>
          <w:rFonts w:eastAsia="Hiragino Kaku Gothic Pro W6" w:cs="Segoe UI"/>
          <w:sz w:val="16"/>
          <w:szCs w:val="16"/>
        </w:rPr>
      </w:pPr>
      <w:r w:rsidRPr="000578E2">
        <w:rPr>
          <w:rFonts w:eastAsia="Hiragino Kaku Gothic Pro W6" w:cs="Segoe UI"/>
          <w:sz w:val="16"/>
          <w:szCs w:val="16"/>
        </w:rPr>
        <w:t>The table above sets out the investment performance returns (AFTER investment management fees, but BEFORE administration fees, performance based fees and taxes) for the Portfolio. The performance returns have been calculated on a daily basis taking into account brokerage costs, and are accumulated for the period shown. Returns are shown as annualised if the period is over 1 year, or as total returns otherwise.</w:t>
      </w:r>
    </w:p>
    <w:p w:rsidR="008D5309" w:rsidRPr="000578E2" w:rsidRDefault="000A2C55" w:rsidP="008F3B18">
      <w:pPr>
        <w:pStyle w:val="Heading2"/>
        <w:spacing w:before="120" w:after="60"/>
        <w:rPr>
          <w:rFonts w:eastAsia="Hiragino Kaku Gothic Pro W6" w:cs="Segoe UI"/>
          <w:b w:val="0"/>
          <w:color w:val="1F497D"/>
          <w:sz w:val="24"/>
          <w:szCs w:val="24"/>
        </w:rPr>
      </w:pPr>
      <w:r w:rsidRPr="000578E2">
        <w:t>Quarterly Review</w:t>
      </w:r>
    </w:p>
    <w:p w:rsidR="008D5309" w:rsidRPr="000578E2" w:rsidRDefault="00F15E3F" w:rsidP="00382DB8">
      <w:pPr>
        <w:spacing w:before="120"/>
        <w:jc w:val="both"/>
        <w:rPr>
          <w:rFonts w:eastAsia="Hiragino Kaku Gothic Pro W6" w:cs="Segoe UI"/>
        </w:rPr>
      </w:pPr>
      <w:r>
        <w:rPr>
          <w:rFonts w:eastAsia="Hiragino Kaku Gothic Pro W6" w:cs="Segoe UI"/>
        </w:rPr>
        <w:t xml:space="preserve">The benefit of the takeover of </w:t>
      </w:r>
      <w:proofErr w:type="spellStart"/>
      <w:r>
        <w:rPr>
          <w:rFonts w:eastAsia="Hiragino Kaku Gothic Pro W6" w:cs="Segoe UI"/>
        </w:rPr>
        <w:t>Xplore</w:t>
      </w:r>
      <w:proofErr w:type="spellEnd"/>
      <w:r>
        <w:rPr>
          <w:rFonts w:eastAsia="Hiragino Kaku Gothic Pro W6" w:cs="Segoe UI"/>
        </w:rPr>
        <w:t xml:space="preserve"> Group came through this quarter, but other holdings also contributed. However it was another satisfying quarter. At quarter close we switched some money into Westpac for the dividend, and into Treasury Estates, that was hit by China imposes tariffs on Australian wines, providing an attractive </w:t>
      </w:r>
      <w:proofErr w:type="gramStart"/>
      <w:r>
        <w:rPr>
          <w:rFonts w:eastAsia="Hiragino Kaku Gothic Pro W6" w:cs="Segoe UI"/>
        </w:rPr>
        <w:t>long term</w:t>
      </w:r>
      <w:proofErr w:type="gramEnd"/>
      <w:r>
        <w:rPr>
          <w:rFonts w:eastAsia="Hiragino Kaku Gothic Pro W6" w:cs="Segoe UI"/>
        </w:rPr>
        <w:t xml:space="preserve"> entry price. </w:t>
      </w:r>
    </w:p>
    <w:p w:rsidR="00382DB8" w:rsidRPr="000578E2" w:rsidRDefault="00382DB8" w:rsidP="00382DB8">
      <w:pPr>
        <w:spacing w:before="120"/>
        <w:jc w:val="both"/>
        <w:rPr>
          <w:rFonts w:eastAsia="Hiragino Kaku Gothic Pro W6" w:cs="Segoe UI"/>
        </w:rPr>
      </w:pPr>
    </w:p>
    <w:p w:rsidR="008F3B18" w:rsidRPr="000578E2" w:rsidRDefault="008F3B18" w:rsidP="008D5309">
      <w:pPr>
        <w:rPr>
          <w:rFonts w:eastAsia="Hiragino Kaku Gothic Pro W6" w:cs="Segoe UI"/>
          <w:b/>
          <w:color w:val="1F497D"/>
        </w:rPr>
      </w:pPr>
    </w:p>
    <w:p w:rsidR="008D5309" w:rsidRPr="000578E2" w:rsidRDefault="0056204C" w:rsidP="008F3B18">
      <w:pPr>
        <w:pStyle w:val="Heading2"/>
        <w:spacing w:before="120" w:after="60"/>
        <w:rPr>
          <w:sz w:val="24"/>
          <w:szCs w:val="24"/>
        </w:rPr>
      </w:pPr>
      <w:r w:rsidRPr="000578E2">
        <w:rPr>
          <w:sz w:val="24"/>
          <w:szCs w:val="24"/>
        </w:rPr>
        <w:t xml:space="preserve">Top </w:t>
      </w:r>
      <w:r>
        <w:rPr>
          <w:sz w:val="24"/>
          <w:szCs w:val="24"/>
        </w:rPr>
        <w:t>5</w:t>
      </w:r>
      <w:r w:rsidRPr="000578E2">
        <w:rPr>
          <w:sz w:val="24"/>
          <w:szCs w:val="24"/>
        </w:rPr>
        <w:t xml:space="preserve"> stocks by weight as at </w:t>
      </w:r>
      <w:r>
        <w:rPr>
          <w:sz w:val="24"/>
          <w:szCs w:val="24"/>
        </w:rPr>
        <w:t>31 December 2020</w:t>
      </w:r>
    </w:p>
    <w:tbl>
      <w:tblPr>
        <w:tblW w:w="0" w:type="auto"/>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0578E2" w:rsidTr="004734B1">
        <w:tc>
          <w:tcPr>
            <w:tcW w:w="3827"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Company Name</w:t>
            </w:r>
          </w:p>
        </w:tc>
        <w:tc>
          <w:tcPr>
            <w:tcW w:w="3119"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Sector</w:t>
            </w:r>
          </w:p>
        </w:tc>
      </w:tr>
      <w:tr w:rsidR="002B45D5">
        <w:tc>
          <w:tcPr>
            <w:tcW w:w="2310" w:type="dxa"/>
          </w:tcPr>
          <w:p w:rsidR="002B45D5" w:rsidRDefault="00F15E3F">
            <w:r>
              <w:t>WESTPAC BANKING CORP ORDINARY</w:t>
            </w:r>
          </w:p>
        </w:tc>
        <w:tc>
          <w:tcPr>
            <w:tcW w:w="2310" w:type="dxa"/>
          </w:tcPr>
          <w:p w:rsidR="002B45D5" w:rsidRDefault="00F15E3F">
            <w:r>
              <w:t>Financials</w:t>
            </w:r>
          </w:p>
        </w:tc>
      </w:tr>
      <w:tr w:rsidR="002B45D5">
        <w:tc>
          <w:tcPr>
            <w:tcW w:w="2310" w:type="dxa"/>
          </w:tcPr>
          <w:p w:rsidR="002B45D5" w:rsidRDefault="00F15E3F">
            <w:r>
              <w:t>KOGAN.COM LTD ORDINARY</w:t>
            </w:r>
          </w:p>
        </w:tc>
        <w:tc>
          <w:tcPr>
            <w:tcW w:w="2310" w:type="dxa"/>
          </w:tcPr>
          <w:p w:rsidR="002B45D5" w:rsidRDefault="00F15E3F">
            <w:r>
              <w:t>Consumer Discretionary</w:t>
            </w:r>
          </w:p>
        </w:tc>
      </w:tr>
      <w:tr w:rsidR="002B45D5">
        <w:tc>
          <w:tcPr>
            <w:tcW w:w="2310" w:type="dxa"/>
          </w:tcPr>
          <w:p w:rsidR="002B45D5" w:rsidRDefault="00F15E3F">
            <w:r>
              <w:lastRenderedPageBreak/>
              <w:t>LINK ADMIN HLDG ORDINARY</w:t>
            </w:r>
          </w:p>
        </w:tc>
        <w:tc>
          <w:tcPr>
            <w:tcW w:w="2310" w:type="dxa"/>
          </w:tcPr>
          <w:p w:rsidR="002B45D5" w:rsidRDefault="00F15E3F">
            <w:r>
              <w:t>Information Technology</w:t>
            </w:r>
          </w:p>
        </w:tc>
      </w:tr>
      <w:tr w:rsidR="002B45D5">
        <w:tc>
          <w:tcPr>
            <w:tcW w:w="2310" w:type="dxa"/>
          </w:tcPr>
          <w:p w:rsidR="002B45D5" w:rsidRDefault="00F15E3F">
            <w:r>
              <w:t>CHALLENGER LIMITED ORDINARY</w:t>
            </w:r>
          </w:p>
        </w:tc>
        <w:tc>
          <w:tcPr>
            <w:tcW w:w="2310" w:type="dxa"/>
          </w:tcPr>
          <w:p w:rsidR="002B45D5" w:rsidRDefault="00F15E3F">
            <w:r>
              <w:t>Financials</w:t>
            </w:r>
          </w:p>
        </w:tc>
      </w:tr>
      <w:tr w:rsidR="002B45D5">
        <w:tc>
          <w:tcPr>
            <w:tcW w:w="2310" w:type="dxa"/>
          </w:tcPr>
          <w:p w:rsidR="002B45D5" w:rsidRDefault="00F15E3F">
            <w:r>
              <w:t>TREASURY WINE ESTATE ORDINARY</w:t>
            </w:r>
          </w:p>
        </w:tc>
        <w:tc>
          <w:tcPr>
            <w:tcW w:w="2310" w:type="dxa"/>
          </w:tcPr>
          <w:p w:rsidR="002B45D5" w:rsidRDefault="00F15E3F">
            <w:r>
              <w:t>Consumer Staples</w:t>
            </w:r>
          </w:p>
        </w:tc>
      </w:tr>
    </w:tbl>
    <w:p w:rsidR="008833C7" w:rsidRDefault="008833C7" w:rsidP="008F3B18">
      <w:pPr>
        <w:pStyle w:val="Heading2"/>
        <w:spacing w:before="120" w:after="60"/>
      </w:pPr>
    </w:p>
    <w:p w:rsidR="008D5309" w:rsidRPr="000578E2" w:rsidRDefault="000A2C55" w:rsidP="008F3B18">
      <w:pPr>
        <w:pStyle w:val="Heading2"/>
        <w:spacing w:before="120" w:after="60"/>
      </w:pPr>
      <w:r w:rsidRPr="000578E2">
        <w:t>Market Outlook</w:t>
      </w:r>
    </w:p>
    <w:p w:rsidR="00F15E3F" w:rsidRPr="00E71296" w:rsidRDefault="00F15E3F" w:rsidP="00E71296">
      <w:pPr>
        <w:spacing w:before="120"/>
        <w:jc w:val="both"/>
        <w:rPr>
          <w:rFonts w:eastAsia="Hiragino Kaku Gothic Pro W6" w:cs="Segoe UI"/>
        </w:rPr>
      </w:pPr>
      <w:r>
        <w:rPr>
          <w:rFonts w:eastAsia="Hiragino Kaku Gothic Pro W6" w:cs="Segoe UI"/>
        </w:rPr>
        <w:t xml:space="preserve">The market is continuing to ignore the likelihood of rising interest rates (at the long end) during 2021-2 as the stimulation provided by governments around the world to their economies feeds through. Underlying inflation is thought to be under control, but try </w:t>
      </w:r>
      <w:r w:rsidR="00E71296">
        <w:rPr>
          <w:rFonts w:eastAsia="Hiragino Kaku Gothic Pro W6" w:cs="Segoe UI"/>
        </w:rPr>
        <w:t xml:space="preserve">telling that to first time </w:t>
      </w:r>
      <w:proofErr w:type="gramStart"/>
      <w:r w:rsidR="00E71296">
        <w:rPr>
          <w:rFonts w:eastAsia="Hiragino Kaku Gothic Pro W6" w:cs="Segoe UI"/>
        </w:rPr>
        <w:t>home-</w:t>
      </w:r>
      <w:r>
        <w:rPr>
          <w:rFonts w:eastAsia="Hiragino Kaku Gothic Pro W6" w:cs="Segoe UI"/>
        </w:rPr>
        <w:t>buyers</w:t>
      </w:r>
      <w:proofErr w:type="gramEnd"/>
      <w:r>
        <w:rPr>
          <w:rFonts w:eastAsia="Hiragino Kaku Gothic Pro W6" w:cs="Segoe UI"/>
        </w:rPr>
        <w:t xml:space="preserve">. Governments continue to feed </w:t>
      </w:r>
      <w:r w:rsidR="00E71296">
        <w:rPr>
          <w:rFonts w:eastAsia="Hiragino Kaku Gothic Pro W6" w:cs="Segoe UI"/>
        </w:rPr>
        <w:t xml:space="preserve">the </w:t>
      </w:r>
      <w:r>
        <w:rPr>
          <w:rFonts w:eastAsia="Hiragino Kaku Gothic Pro W6" w:cs="Segoe UI"/>
        </w:rPr>
        <w:t xml:space="preserve">asset price frenzy, and </w:t>
      </w:r>
      <w:proofErr w:type="gramStart"/>
      <w:r w:rsidR="00E71296">
        <w:rPr>
          <w:rFonts w:eastAsia="Hiragino Kaku Gothic Pro W6" w:cs="Segoe UI"/>
        </w:rPr>
        <w:t>short term</w:t>
      </w:r>
      <w:proofErr w:type="gramEnd"/>
      <w:r w:rsidR="00E71296">
        <w:rPr>
          <w:rFonts w:eastAsia="Hiragino Kaku Gothic Pro W6" w:cs="Segoe UI"/>
        </w:rPr>
        <w:t xml:space="preserve"> </w:t>
      </w:r>
      <w:r>
        <w:rPr>
          <w:rFonts w:eastAsia="Hiragino Kaku Gothic Pro W6" w:cs="Segoe UI"/>
        </w:rPr>
        <w:t xml:space="preserve">interest rates are sufficiently low that it still looks cheaper to buy than rent in many Australian capital cities despite the rises.  The </w:t>
      </w:r>
      <w:proofErr w:type="spellStart"/>
      <w:r>
        <w:rPr>
          <w:rFonts w:eastAsia="Hiragino Kaku Gothic Pro W6" w:cs="Segoe UI"/>
        </w:rPr>
        <w:t>stockmarket</w:t>
      </w:r>
      <w:proofErr w:type="spellEnd"/>
      <w:r>
        <w:rPr>
          <w:rFonts w:eastAsia="Hiragino Kaku Gothic Pro W6" w:cs="Segoe UI"/>
        </w:rPr>
        <w:t xml:space="preserve"> is seeing this too, with retail investors back in force</w:t>
      </w:r>
      <w:r w:rsidR="00E71296">
        <w:rPr>
          <w:rFonts w:eastAsia="Hiragino Kaku Gothic Pro W6" w:cs="Segoe UI"/>
        </w:rPr>
        <w:t>,</w:t>
      </w:r>
      <w:r>
        <w:rPr>
          <w:rFonts w:eastAsia="Hiragino Kaku Gothic Pro W6" w:cs="Segoe UI"/>
        </w:rPr>
        <w:t xml:space="preserve"> especially </w:t>
      </w:r>
      <w:proofErr w:type="spellStart"/>
      <w:r>
        <w:rPr>
          <w:rFonts w:eastAsia="Hiragino Kaku Gothic Pro W6" w:cs="Segoe UI"/>
        </w:rPr>
        <w:t>Millennials</w:t>
      </w:r>
      <w:proofErr w:type="spellEnd"/>
      <w:r>
        <w:rPr>
          <w:rFonts w:eastAsia="Hiragino Kaku Gothic Pro W6" w:cs="Segoe UI"/>
        </w:rPr>
        <w:t xml:space="preserve">. Old timers realise we are close to some sort of blow off, but the exact timing is hard to call.  </w:t>
      </w:r>
    </w:p>
    <w:p w:rsidR="00F15E3F" w:rsidRDefault="00F15E3F" w:rsidP="00382DB8">
      <w:pPr>
        <w:jc w:val="both"/>
        <w:rPr>
          <w:rFonts w:eastAsia="Calibri"/>
        </w:rPr>
      </w:pPr>
      <w:r>
        <w:rPr>
          <w:rFonts w:eastAsia="Calibri"/>
        </w:rPr>
        <w:t xml:space="preserve">On the other hand, </w:t>
      </w:r>
      <w:r w:rsidR="00E71296">
        <w:rPr>
          <w:rFonts w:eastAsia="Calibri"/>
        </w:rPr>
        <w:t xml:space="preserve">new </w:t>
      </w:r>
      <w:r>
        <w:rPr>
          <w:rFonts w:eastAsia="Calibri"/>
        </w:rPr>
        <w:t xml:space="preserve">opportunities </w:t>
      </w:r>
      <w:r w:rsidR="00E71296">
        <w:rPr>
          <w:rFonts w:eastAsia="Calibri"/>
        </w:rPr>
        <w:t xml:space="preserve">are </w:t>
      </w:r>
      <w:r>
        <w:rPr>
          <w:rFonts w:eastAsia="Calibri"/>
        </w:rPr>
        <w:t xml:space="preserve">arising from the rapid pace of </w:t>
      </w:r>
      <w:r w:rsidR="00E71296">
        <w:rPr>
          <w:rFonts w:eastAsia="Calibri"/>
        </w:rPr>
        <w:t xml:space="preserve">new technologies. Even the covid19 vaccine research has triggered some advances in other areas. The </w:t>
      </w:r>
      <w:proofErr w:type="spellStart"/>
      <w:r w:rsidR="00E71296">
        <w:rPr>
          <w:rFonts w:eastAsia="Calibri"/>
        </w:rPr>
        <w:t>stockmarket</w:t>
      </w:r>
      <w:proofErr w:type="spellEnd"/>
      <w:r w:rsidR="00E71296">
        <w:rPr>
          <w:rFonts w:eastAsia="Calibri"/>
        </w:rPr>
        <w:t xml:space="preserve"> is not a zero sum </w:t>
      </w:r>
      <w:proofErr w:type="gramStart"/>
      <w:r w:rsidR="00E71296">
        <w:rPr>
          <w:rFonts w:eastAsia="Calibri"/>
        </w:rPr>
        <w:t>game,</w:t>
      </w:r>
      <w:proofErr w:type="gramEnd"/>
      <w:r w:rsidR="00E71296">
        <w:rPr>
          <w:rFonts w:eastAsia="Calibri"/>
        </w:rPr>
        <w:t xml:space="preserve"> there is generally economic growth and progress providing </w:t>
      </w:r>
      <w:proofErr w:type="spellStart"/>
      <w:r w:rsidR="00E71296">
        <w:rPr>
          <w:rFonts w:eastAsia="Calibri"/>
        </w:rPr>
        <w:t>gaions</w:t>
      </w:r>
      <w:proofErr w:type="spellEnd"/>
      <w:r w:rsidR="00E71296">
        <w:rPr>
          <w:rFonts w:eastAsia="Calibri"/>
        </w:rPr>
        <w:t xml:space="preserve">. So for the moment, we are running with the momentum. </w:t>
      </w:r>
    </w:p>
    <w:p w:rsidR="00E71296" w:rsidRDefault="00E71296" w:rsidP="00382DB8">
      <w:pPr>
        <w:jc w:val="both"/>
        <w:rPr>
          <w:rFonts w:eastAsia="Calibri"/>
        </w:rPr>
      </w:pPr>
      <w:r>
        <w:rPr>
          <w:rFonts w:eastAsia="Calibri"/>
        </w:rPr>
        <w:t xml:space="preserve">Covid-19 vaccines are now available, so there is an end in sight for </w:t>
      </w:r>
      <w:proofErr w:type="spellStart"/>
      <w:r>
        <w:rPr>
          <w:rFonts w:eastAsia="Calibri"/>
        </w:rPr>
        <w:t>covid</w:t>
      </w:r>
      <w:proofErr w:type="spellEnd"/>
      <w:r>
        <w:rPr>
          <w:rFonts w:eastAsia="Calibri"/>
        </w:rPr>
        <w:t xml:space="preserve"> lockdowns. Whether that will be a catalyst for the market to wake up to the indebtedness of governments and pullback, is yet to be seen. Often </w:t>
      </w:r>
      <w:proofErr w:type="gramStart"/>
      <w:r>
        <w:rPr>
          <w:rFonts w:eastAsia="Calibri"/>
        </w:rPr>
        <w:t>its</w:t>
      </w:r>
      <w:proofErr w:type="gramEnd"/>
      <w:r>
        <w:rPr>
          <w:rFonts w:eastAsia="Calibri"/>
        </w:rPr>
        <w:t xml:space="preserve"> “better to travel than to arrive”.  The coming year is shaping up as seeing the beginning of the next bear market.</w:t>
      </w:r>
      <w:bookmarkStart w:id="0" w:name="_GoBack"/>
      <w:bookmarkEnd w:id="0"/>
    </w:p>
    <w:p w:rsidR="00E71296" w:rsidRDefault="00E71296" w:rsidP="00382DB8">
      <w:pPr>
        <w:jc w:val="both"/>
        <w:rPr>
          <w:rFonts w:eastAsia="Calibri"/>
        </w:rPr>
      </w:pPr>
    </w:p>
    <w:p w:rsidR="00E71296" w:rsidRDefault="00E71296" w:rsidP="00382DB8">
      <w:pPr>
        <w:jc w:val="both"/>
        <w:rPr>
          <w:rFonts w:eastAsia="Calibri"/>
        </w:rPr>
      </w:pPr>
    </w:p>
    <w:p w:rsidR="00E71296" w:rsidRPr="000578E2" w:rsidRDefault="00E71296" w:rsidP="00382DB8">
      <w:pPr>
        <w:jc w:val="both"/>
        <w:rPr>
          <w:rFonts w:eastAsia="Calibri"/>
        </w:rPr>
        <w:sectPr w:rsidR="00E71296" w:rsidRPr="000578E2" w:rsidSect="00334718">
          <w:type w:val="continuous"/>
          <w:pgSz w:w="11900" w:h="16840"/>
          <w:pgMar w:top="1440" w:right="1410" w:bottom="1440" w:left="1276" w:header="708" w:footer="708" w:gutter="0"/>
          <w:cols w:space="708"/>
        </w:sectPr>
      </w:pPr>
    </w:p>
    <w:p w:rsidR="00FA00EF" w:rsidRPr="000578E2" w:rsidRDefault="00FA00EF" w:rsidP="004E1B71">
      <w:pPr>
        <w:pStyle w:val="Heading2"/>
        <w:rPr>
          <w:sz w:val="44"/>
        </w:rPr>
      </w:pPr>
      <w:r w:rsidRPr="000578E2">
        <w:rPr>
          <w:sz w:val="44"/>
        </w:rPr>
        <w:lastRenderedPageBreak/>
        <w:t>IMPORTANT INFORMATION</w:t>
      </w:r>
    </w:p>
    <w:p w:rsidR="00FA00EF" w:rsidRPr="000578E2" w:rsidRDefault="00FA00EF" w:rsidP="007D418F"/>
    <w:p w:rsidR="00FA00EF" w:rsidRPr="00BF13DF" w:rsidRDefault="00FA00EF" w:rsidP="000517C1">
      <w:pPr>
        <w:autoSpaceDE w:val="0"/>
        <w:autoSpaceDN w:val="0"/>
        <w:adjustRightInd w:val="0"/>
        <w:spacing w:after="0" w:line="240" w:lineRule="auto"/>
        <w:rPr>
          <w:rFonts w:cs="Arial Narrow"/>
          <w:b/>
          <w:bCs/>
          <w:sz w:val="20"/>
          <w:szCs w:val="20"/>
        </w:rPr>
      </w:pPr>
    </w:p>
    <w:p w:rsidR="00FA00EF" w:rsidRPr="00BF13DF" w:rsidRDefault="00FA00EF" w:rsidP="000517C1">
      <w:pPr>
        <w:widowControl w:val="0"/>
        <w:autoSpaceDE w:val="0"/>
        <w:autoSpaceDN w:val="0"/>
        <w:adjustRightInd w:val="0"/>
        <w:snapToGrid w:val="0"/>
        <w:spacing w:after="120" w:line="240" w:lineRule="auto"/>
        <w:jc w:val="both"/>
        <w:rPr>
          <w:rFonts w:cs="GillSans Light"/>
          <w:color w:val="000000"/>
          <w:sz w:val="20"/>
          <w:szCs w:val="20"/>
        </w:rPr>
        <w:sectPr w:rsidR="00FA00EF" w:rsidRPr="00BF13DF" w:rsidSect="009A2283">
          <w:pgSz w:w="11900" w:h="16840"/>
          <w:pgMar w:top="1440" w:right="1410" w:bottom="1440" w:left="1276" w:header="708" w:footer="708" w:gutter="0"/>
          <w:cols w:space="708"/>
        </w:sectPr>
      </w:pPr>
    </w:p>
    <w:p w:rsidR="00BF13DF" w:rsidRPr="00BF13DF" w:rsidRDefault="00BF13DF" w:rsidP="00BF13DF">
      <w:pPr>
        <w:rPr>
          <w:sz w:val="20"/>
          <w:szCs w:val="20"/>
        </w:rPr>
      </w:pPr>
      <w:r w:rsidRPr="00BF13DF">
        <w:rPr>
          <w:sz w:val="20"/>
          <w:szCs w:val="20"/>
        </w:rPr>
        <w:lastRenderedPageBreak/>
        <w:t>Prepared by HUB24 Custodial Services Ltd (ABN 94 073 633 664, AFS licence No. 239 122) ("the Operator” of HUB24 Invest (the Service)) and (("the Promo</w:t>
      </w:r>
      <w:r w:rsidR="00366F8F">
        <w:rPr>
          <w:sz w:val="20"/>
          <w:szCs w:val="20"/>
        </w:rPr>
        <w:t>ter” of HUB24 Super (the Fund))</w:t>
      </w:r>
      <w:r w:rsidRPr="00BF13DF">
        <w:rPr>
          <w:sz w:val="20"/>
          <w:szCs w:val="20"/>
        </w:rPr>
        <w:t>". The information contained in this document is not intended to be a definitive statement on the subject matter nor an endorsement that this Portfolio is appropriate for you and should not be relied upon in making a decision to invest in this Service</w:t>
      </w:r>
      <w:r w:rsidR="00366F8F">
        <w:rPr>
          <w:sz w:val="20"/>
          <w:szCs w:val="20"/>
        </w:rPr>
        <w:t xml:space="preserve"> or Fund</w:t>
      </w:r>
      <w:r w:rsidRPr="00BF13DF">
        <w:rPr>
          <w:sz w:val="20"/>
          <w:szCs w:val="20"/>
        </w:rPr>
        <w:t xml:space="preserve">. </w:t>
      </w:r>
    </w:p>
    <w:p w:rsidR="008D5309" w:rsidRPr="00BF13DF" w:rsidRDefault="008D5309" w:rsidP="008D5309">
      <w:pPr>
        <w:widowControl w:val="0"/>
        <w:autoSpaceDE w:val="0"/>
        <w:autoSpaceDN w:val="0"/>
        <w:adjustRightInd w:val="0"/>
        <w:snapToGrid w:val="0"/>
        <w:spacing w:after="0" w:line="240" w:lineRule="auto"/>
        <w:rPr>
          <w:sz w:val="20"/>
          <w:szCs w:val="20"/>
        </w:rPr>
      </w:pPr>
    </w:p>
    <w:p w:rsidR="00D16B2C" w:rsidRPr="000578E2" w:rsidRDefault="00D16B2C" w:rsidP="00D16B2C">
      <w:pPr>
        <w:spacing w:after="0"/>
        <w:rPr>
          <w:sz w:val="20"/>
          <w:szCs w:val="20"/>
          <w:lang w:val="en-US"/>
        </w:rPr>
      </w:pPr>
      <w:proofErr w:type="gramStart"/>
      <w:r w:rsidRPr="000578E2">
        <w:rPr>
          <w:sz w:val="20"/>
          <w:szCs w:val="20"/>
          <w:lang w:val="en-US"/>
        </w:rPr>
        <w:t xml:space="preserve">Financial commentary contained within this report is provided by </w:t>
      </w:r>
      <w:r>
        <w:rPr>
          <w:sz w:val="20"/>
          <w:szCs w:val="20"/>
          <w:lang w:val="en-US"/>
        </w:rPr>
        <w:t>Aldersley Capital Pty Ltd</w:t>
      </w:r>
      <w:proofErr w:type="gramEnd"/>
      <w:r w:rsidR="00073D80" w:rsidRPr="000578E2">
        <w:rPr>
          <w:sz w:val="20"/>
          <w:szCs w:val="20"/>
          <w:lang w:val="en-US"/>
        </w:rPr>
        <w:t xml:space="preserve"> (</w:t>
      </w:r>
      <w:r>
        <w:rPr>
          <w:sz w:val="20"/>
          <w:szCs w:val="20"/>
          <w:lang w:val="en-US"/>
        </w:rPr>
        <w:t xml:space="preserve">ABN 14 002 972 901) a corporate </w:t>
      </w:r>
      <w:proofErr w:type="spellStart"/>
      <w:r>
        <w:rPr>
          <w:sz w:val="20"/>
          <w:szCs w:val="20"/>
          <w:lang w:val="en-US"/>
        </w:rPr>
        <w:t>authorised</w:t>
      </w:r>
      <w:proofErr w:type="spellEnd"/>
      <w:r>
        <w:rPr>
          <w:sz w:val="20"/>
          <w:szCs w:val="20"/>
          <w:lang w:val="en-US"/>
        </w:rPr>
        <w:t xml:space="preserve"> representative (No. 420193) of </w:t>
      </w:r>
      <w:proofErr w:type="spellStart"/>
      <w:r>
        <w:rPr>
          <w:sz w:val="20"/>
          <w:szCs w:val="20"/>
          <w:lang w:val="en-US"/>
        </w:rPr>
        <w:t>Andika</w:t>
      </w:r>
      <w:proofErr w:type="spellEnd"/>
      <w:r>
        <w:rPr>
          <w:sz w:val="20"/>
          <w:szCs w:val="20"/>
          <w:lang w:val="en-US"/>
        </w:rPr>
        <w:t xml:space="preserve"> Pty Ltd (ABN 41 117 403 326 and AFSL 297069</w:t>
      </w:r>
      <w:r w:rsidR="00073D80" w:rsidRPr="000578E2">
        <w:rPr>
          <w:sz w:val="20"/>
          <w:szCs w:val="20"/>
          <w:lang w:val="en-US"/>
        </w:rPr>
        <w:t>)</w:t>
      </w:r>
      <w:r w:rsidRPr="000578E2">
        <w:rPr>
          <w:sz w:val="20"/>
          <w:szCs w:val="20"/>
          <w:lang w:val="en-US"/>
        </w:rPr>
        <w:t>, who is the Portfolio Manager of this Portfolio.</w:t>
      </w:r>
    </w:p>
    <w:p w:rsidR="008D5309" w:rsidRPr="000578E2" w:rsidRDefault="008D5309" w:rsidP="008D5309">
      <w:pPr>
        <w:widowControl w:val="0"/>
        <w:autoSpaceDE w:val="0"/>
        <w:autoSpaceDN w:val="0"/>
        <w:adjustRightInd w:val="0"/>
        <w:snapToGrid w:val="0"/>
        <w:spacing w:after="0" w:line="240" w:lineRule="auto"/>
        <w:rPr>
          <w:sz w:val="20"/>
          <w:szCs w:val="20"/>
        </w:rPr>
      </w:pPr>
    </w:p>
    <w:p w:rsidR="00BF13DF" w:rsidRPr="00BF13DF" w:rsidRDefault="00BF13DF" w:rsidP="00BF13DF">
      <w:pPr>
        <w:rPr>
          <w:rFonts w:cstheme="minorBidi"/>
          <w:sz w:val="20"/>
          <w:szCs w:val="20"/>
        </w:rPr>
      </w:pPr>
      <w:r w:rsidRPr="00BF13DF">
        <w:rPr>
          <w:sz w:val="20"/>
          <w:szCs w:val="20"/>
        </w:rPr>
        <w:t xml:space="preserve">The information in this report is general information only and does not take into account your individual objectives, financial situation, needs or circumstances. No representations or warranties express or </w:t>
      </w:r>
      <w:proofErr w:type="gramStart"/>
      <w:r w:rsidRPr="00BF13DF">
        <w:rPr>
          <w:sz w:val="20"/>
          <w:szCs w:val="20"/>
        </w:rPr>
        <w:t>implied,</w:t>
      </w:r>
      <w:proofErr w:type="gramEnd"/>
      <w:r w:rsidRPr="00BF13DF">
        <w:rPr>
          <w:sz w:val="20"/>
          <w:szCs w:val="20"/>
        </w:rPr>
        <w:t xml:space="preserve"> are made as to the accuracy or completeness of the information, opinions and conclusions contained in this report. In preparing this report, HUB24 has relied upon and assumed, without independent verification, the accuracy and completeness of all information available to HUB24. To the maximum extent permitted by law, </w:t>
      </w:r>
      <w:proofErr w:type="gramStart"/>
      <w:r w:rsidRPr="00BF13DF">
        <w:rPr>
          <w:sz w:val="20"/>
          <w:szCs w:val="20"/>
        </w:rPr>
        <w:t>neither HUB24 or its directors, employees or agents</w:t>
      </w:r>
      <w:proofErr w:type="gramEnd"/>
      <w:r w:rsidRPr="00BF13DF">
        <w:rPr>
          <w:sz w:val="20"/>
          <w:szCs w:val="20"/>
        </w:rPr>
        <w:t xml:space="preserve"> accept any liability for any loss arising in relation to this report</w:t>
      </w:r>
      <w:r w:rsidRPr="00BF13DF">
        <w:rPr>
          <w:rFonts w:cstheme="minorBidi"/>
          <w:sz w:val="20"/>
          <w:szCs w:val="20"/>
        </w:rPr>
        <w:t xml:space="preserve">. </w:t>
      </w:r>
    </w:p>
    <w:p w:rsidR="00B04DA9" w:rsidRDefault="00B04DA9"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lastRenderedPageBreak/>
        <w:t xml:space="preserve">The suitability of the Service or Fund to your needs and the suitability of a particular Investment Choice </w:t>
      </w:r>
      <w:proofErr w:type="gramStart"/>
      <w:r w:rsidRPr="00BF13DF">
        <w:rPr>
          <w:sz w:val="20"/>
          <w:szCs w:val="20"/>
        </w:rPr>
        <w:t>depends</w:t>
      </w:r>
      <w:proofErr w:type="gramEnd"/>
      <w:r w:rsidRPr="00BF13DF">
        <w:rPr>
          <w:sz w:val="20"/>
          <w:szCs w:val="20"/>
        </w:rPr>
        <w:t xml:space="preserve"> on your individual circumstances and objectives and should be discussed with your Adviser. Potential investors must read the FSG and IDPS Guide and/or Super PDS along with any accompanying materials.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 xml:space="preserve">Investment in securities and other financial products involves risk. An investment in a financial product may have the potential for capital growth and income, but may also carry the risk that the total return on the investment may be less than the amount contributed directly by the investor.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Past performance of financial products is not a reliable indicator of future performa</w:t>
      </w:r>
      <w:r w:rsidR="00366F8F">
        <w:rPr>
          <w:sz w:val="20"/>
          <w:szCs w:val="20"/>
        </w:rPr>
        <w:t xml:space="preserve">nce.  HUB24 and the Trustee do not assure </w:t>
      </w:r>
      <w:r w:rsidRPr="00BF13DF">
        <w:rPr>
          <w:sz w:val="20"/>
          <w:szCs w:val="20"/>
        </w:rPr>
        <w:t xml:space="preserve">or guarantee the performance of any financial products offered. Information, opinions, historical performance, calculations or assessments of performance of financial products or markets rely on assumptions about tax, reinvestment, market performance, liquidity and other factors that will be important and may fluctuate over time.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HUB24, its associates and their respective directors and other staff each declare that they may, from time to time, hold interests in Securities that ar</w:t>
      </w:r>
      <w:r w:rsidR="00366F8F">
        <w:rPr>
          <w:sz w:val="20"/>
          <w:szCs w:val="20"/>
        </w:rPr>
        <w:t xml:space="preserve">e contained in this Service </w:t>
      </w:r>
      <w:r w:rsidRPr="00BF13DF">
        <w:rPr>
          <w:sz w:val="20"/>
          <w:szCs w:val="20"/>
        </w:rPr>
        <w:t>or Fund.</w:t>
      </w:r>
    </w:p>
    <w:p w:rsidR="008D5309" w:rsidRPr="008D5309" w:rsidRDefault="008D5309" w:rsidP="008D5309">
      <w:pPr>
        <w:widowControl w:val="0"/>
        <w:autoSpaceDE w:val="0"/>
        <w:autoSpaceDN w:val="0"/>
        <w:adjustRightInd w:val="0"/>
        <w:snapToGrid w:val="0"/>
        <w:spacing w:after="0" w:line="240" w:lineRule="auto"/>
        <w:rPr>
          <w:sz w:val="20"/>
          <w:szCs w:val="20"/>
        </w:rPr>
      </w:pPr>
    </w:p>
    <w:p w:rsidR="008D5309" w:rsidRPr="004E1B71" w:rsidRDefault="008D5309" w:rsidP="000517C1">
      <w:pPr>
        <w:widowControl w:val="0"/>
        <w:autoSpaceDE w:val="0"/>
        <w:autoSpaceDN w:val="0"/>
        <w:adjustRightInd w:val="0"/>
        <w:snapToGrid w:val="0"/>
        <w:spacing w:after="0" w:line="240" w:lineRule="auto"/>
        <w:rPr>
          <w:rFonts w:cs="GillSans Light"/>
          <w:sz w:val="20"/>
          <w:szCs w:val="18"/>
        </w:rPr>
      </w:pPr>
    </w:p>
    <w:p w:rsidR="00FA00EF" w:rsidRDefault="00FA00EF" w:rsidP="00EB437E">
      <w:pPr>
        <w:sectPr w:rsidR="00FA00EF" w:rsidSect="009A2283">
          <w:type w:val="continuous"/>
          <w:pgSz w:w="11900" w:h="16840"/>
          <w:pgMar w:top="1440" w:right="1410" w:bottom="1440" w:left="1276" w:header="708" w:footer="708" w:gutter="0"/>
          <w:cols w:num="2" w:space="708"/>
        </w:sectPr>
      </w:pPr>
    </w:p>
    <w:p w:rsidR="00FA00EF" w:rsidRPr="00EB437E" w:rsidRDefault="00FA00EF" w:rsidP="00EB437E"/>
    <w:sectPr w:rsidR="00FA00EF" w:rsidRPr="00EB437E" w:rsidSect="009A2283">
      <w:type w:val="continuous"/>
      <w:pgSz w:w="11900" w:h="16840"/>
      <w:pgMar w:top="1440" w:right="1410" w:bottom="1440"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3F" w:rsidRDefault="00F15E3F">
      <w:pPr>
        <w:spacing w:after="0" w:line="240" w:lineRule="auto"/>
      </w:pPr>
      <w:r>
        <w:separator/>
      </w:r>
    </w:p>
  </w:endnote>
  <w:endnote w:type="continuationSeparator" w:id="0">
    <w:p w:rsidR="00F15E3F" w:rsidRDefault="00F1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iragino Kaku Gothic Pro W6">
    <w:charset w:val="80"/>
    <w:family w:val="swiss"/>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F" w:rsidRDefault="00F15E3F"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E3F" w:rsidRDefault="00F15E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F" w:rsidRDefault="00F15E3F"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296">
      <w:rPr>
        <w:rStyle w:val="PageNumber"/>
        <w:noProof/>
      </w:rPr>
      <w:t>1</w:t>
    </w:r>
    <w:r>
      <w:rPr>
        <w:rStyle w:val="PageNumber"/>
      </w:rPr>
      <w:fldChar w:fldCharType="end"/>
    </w:r>
  </w:p>
  <w:p w:rsidR="00F15E3F" w:rsidRDefault="00F15E3F" w:rsidP="007A29C1">
    <w:pPr>
      <w:pStyle w:val="Footer"/>
      <w:jc w:val="center"/>
    </w:pPr>
  </w:p>
  <w:p w:rsidR="00F15E3F" w:rsidRDefault="00F15E3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3F" w:rsidRDefault="00F15E3F">
      <w:pPr>
        <w:spacing w:after="0" w:line="240" w:lineRule="auto"/>
      </w:pPr>
      <w:r>
        <w:separator/>
      </w:r>
    </w:p>
  </w:footnote>
  <w:footnote w:type="continuationSeparator" w:id="0">
    <w:p w:rsidR="00F15E3F" w:rsidRDefault="00F15E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2901A5"/>
    <w:rsid w:val="00001B40"/>
    <w:rsid w:val="00001ED0"/>
    <w:rsid w:val="000025D7"/>
    <w:rsid w:val="0000299E"/>
    <w:rsid w:val="0001455F"/>
    <w:rsid w:val="000220ED"/>
    <w:rsid w:val="0002226B"/>
    <w:rsid w:val="00025F53"/>
    <w:rsid w:val="000319BE"/>
    <w:rsid w:val="000507A6"/>
    <w:rsid w:val="000517C1"/>
    <w:rsid w:val="0005562F"/>
    <w:rsid w:val="000578E2"/>
    <w:rsid w:val="00061828"/>
    <w:rsid w:val="000637DC"/>
    <w:rsid w:val="00073D80"/>
    <w:rsid w:val="00077DB3"/>
    <w:rsid w:val="00090CAA"/>
    <w:rsid w:val="000939CB"/>
    <w:rsid w:val="000A2C55"/>
    <w:rsid w:val="000A6975"/>
    <w:rsid w:val="000B7A46"/>
    <w:rsid w:val="000C667C"/>
    <w:rsid w:val="000D0DF5"/>
    <w:rsid w:val="000D3C30"/>
    <w:rsid w:val="000E71F6"/>
    <w:rsid w:val="000E75EE"/>
    <w:rsid w:val="000F2104"/>
    <w:rsid w:val="000F5F2C"/>
    <w:rsid w:val="00105CC1"/>
    <w:rsid w:val="00121412"/>
    <w:rsid w:val="001231DB"/>
    <w:rsid w:val="00124881"/>
    <w:rsid w:val="00126525"/>
    <w:rsid w:val="0013184D"/>
    <w:rsid w:val="00182271"/>
    <w:rsid w:val="0018386A"/>
    <w:rsid w:val="00197A5A"/>
    <w:rsid w:val="001A0AAF"/>
    <w:rsid w:val="001A3335"/>
    <w:rsid w:val="001A3F41"/>
    <w:rsid w:val="001A591F"/>
    <w:rsid w:val="001B3DFC"/>
    <w:rsid w:val="001C0A71"/>
    <w:rsid w:val="001C3E18"/>
    <w:rsid w:val="001C5E16"/>
    <w:rsid w:val="001C6875"/>
    <w:rsid w:val="001D3DCA"/>
    <w:rsid w:val="001E7EC0"/>
    <w:rsid w:val="001F32CD"/>
    <w:rsid w:val="001F7993"/>
    <w:rsid w:val="0020663F"/>
    <w:rsid w:val="00210965"/>
    <w:rsid w:val="00214160"/>
    <w:rsid w:val="00245887"/>
    <w:rsid w:val="002676E9"/>
    <w:rsid w:val="00272FE7"/>
    <w:rsid w:val="00273BF1"/>
    <w:rsid w:val="002901A5"/>
    <w:rsid w:val="002B3418"/>
    <w:rsid w:val="002B45A3"/>
    <w:rsid w:val="002B45D5"/>
    <w:rsid w:val="002B5F5E"/>
    <w:rsid w:val="002C51E9"/>
    <w:rsid w:val="002E6CA7"/>
    <w:rsid w:val="002F20A8"/>
    <w:rsid w:val="002F2975"/>
    <w:rsid w:val="002F2CF3"/>
    <w:rsid w:val="00305C6E"/>
    <w:rsid w:val="00312C96"/>
    <w:rsid w:val="00316554"/>
    <w:rsid w:val="0032615D"/>
    <w:rsid w:val="00330263"/>
    <w:rsid w:val="00333429"/>
    <w:rsid w:val="00334718"/>
    <w:rsid w:val="003405D5"/>
    <w:rsid w:val="0034117F"/>
    <w:rsid w:val="00353F12"/>
    <w:rsid w:val="00366F8F"/>
    <w:rsid w:val="00377C13"/>
    <w:rsid w:val="00382DB8"/>
    <w:rsid w:val="003940C6"/>
    <w:rsid w:val="003A347D"/>
    <w:rsid w:val="003C5ED9"/>
    <w:rsid w:val="003D6142"/>
    <w:rsid w:val="003E2A59"/>
    <w:rsid w:val="003E2DBE"/>
    <w:rsid w:val="003E30A4"/>
    <w:rsid w:val="003E3D17"/>
    <w:rsid w:val="00400995"/>
    <w:rsid w:val="0040653D"/>
    <w:rsid w:val="00431F1A"/>
    <w:rsid w:val="004352D0"/>
    <w:rsid w:val="0043779E"/>
    <w:rsid w:val="004530F2"/>
    <w:rsid w:val="004734B1"/>
    <w:rsid w:val="004737FA"/>
    <w:rsid w:val="00480D60"/>
    <w:rsid w:val="00482047"/>
    <w:rsid w:val="00486E96"/>
    <w:rsid w:val="0049739E"/>
    <w:rsid w:val="004A7104"/>
    <w:rsid w:val="004B041A"/>
    <w:rsid w:val="004B1795"/>
    <w:rsid w:val="004B23F9"/>
    <w:rsid w:val="004E1B71"/>
    <w:rsid w:val="004E44B8"/>
    <w:rsid w:val="00502351"/>
    <w:rsid w:val="005176E0"/>
    <w:rsid w:val="005344E2"/>
    <w:rsid w:val="00545522"/>
    <w:rsid w:val="0054745D"/>
    <w:rsid w:val="00550D65"/>
    <w:rsid w:val="00555790"/>
    <w:rsid w:val="005557A7"/>
    <w:rsid w:val="00557B4C"/>
    <w:rsid w:val="00561456"/>
    <w:rsid w:val="0056204C"/>
    <w:rsid w:val="0057054E"/>
    <w:rsid w:val="00570B8C"/>
    <w:rsid w:val="00570D7D"/>
    <w:rsid w:val="00573142"/>
    <w:rsid w:val="00573A65"/>
    <w:rsid w:val="00574482"/>
    <w:rsid w:val="00595C08"/>
    <w:rsid w:val="005A6188"/>
    <w:rsid w:val="005B1651"/>
    <w:rsid w:val="005B257C"/>
    <w:rsid w:val="005C12E0"/>
    <w:rsid w:val="005E006E"/>
    <w:rsid w:val="005E5E28"/>
    <w:rsid w:val="005E60C2"/>
    <w:rsid w:val="005E68C7"/>
    <w:rsid w:val="005E7FDF"/>
    <w:rsid w:val="005F3DA2"/>
    <w:rsid w:val="0060001B"/>
    <w:rsid w:val="00617EAC"/>
    <w:rsid w:val="006200B2"/>
    <w:rsid w:val="00627CC2"/>
    <w:rsid w:val="00633126"/>
    <w:rsid w:val="00647DAB"/>
    <w:rsid w:val="006549D7"/>
    <w:rsid w:val="0066154A"/>
    <w:rsid w:val="00663FE7"/>
    <w:rsid w:val="006708AD"/>
    <w:rsid w:val="0067180A"/>
    <w:rsid w:val="006779B6"/>
    <w:rsid w:val="00686699"/>
    <w:rsid w:val="006C7527"/>
    <w:rsid w:val="006D019A"/>
    <w:rsid w:val="006D69FD"/>
    <w:rsid w:val="006E07AB"/>
    <w:rsid w:val="0070025C"/>
    <w:rsid w:val="00707779"/>
    <w:rsid w:val="007170D9"/>
    <w:rsid w:val="00720B1A"/>
    <w:rsid w:val="00740E1B"/>
    <w:rsid w:val="00743487"/>
    <w:rsid w:val="00747FE1"/>
    <w:rsid w:val="0078021D"/>
    <w:rsid w:val="00782989"/>
    <w:rsid w:val="00782C51"/>
    <w:rsid w:val="00786FED"/>
    <w:rsid w:val="007A06FD"/>
    <w:rsid w:val="007A29C1"/>
    <w:rsid w:val="007A3851"/>
    <w:rsid w:val="007B0BA3"/>
    <w:rsid w:val="007C6FB8"/>
    <w:rsid w:val="007D418F"/>
    <w:rsid w:val="007E19E3"/>
    <w:rsid w:val="007E4B77"/>
    <w:rsid w:val="00800086"/>
    <w:rsid w:val="00830CB5"/>
    <w:rsid w:val="00830D3E"/>
    <w:rsid w:val="00866748"/>
    <w:rsid w:val="00867930"/>
    <w:rsid w:val="00877513"/>
    <w:rsid w:val="008833C7"/>
    <w:rsid w:val="00887CF6"/>
    <w:rsid w:val="00890E2A"/>
    <w:rsid w:val="00893A4F"/>
    <w:rsid w:val="00896D01"/>
    <w:rsid w:val="008A4A74"/>
    <w:rsid w:val="008B52DB"/>
    <w:rsid w:val="008B746E"/>
    <w:rsid w:val="008C11F4"/>
    <w:rsid w:val="008C273E"/>
    <w:rsid w:val="008D32BC"/>
    <w:rsid w:val="008D3F80"/>
    <w:rsid w:val="008D4591"/>
    <w:rsid w:val="008D5309"/>
    <w:rsid w:val="008D6C55"/>
    <w:rsid w:val="008E0248"/>
    <w:rsid w:val="008E0FAD"/>
    <w:rsid w:val="008F3B18"/>
    <w:rsid w:val="008F66CD"/>
    <w:rsid w:val="008F67D0"/>
    <w:rsid w:val="0091061D"/>
    <w:rsid w:val="00910F86"/>
    <w:rsid w:val="00916750"/>
    <w:rsid w:val="00922D49"/>
    <w:rsid w:val="00930436"/>
    <w:rsid w:val="00933D57"/>
    <w:rsid w:val="00940173"/>
    <w:rsid w:val="00942102"/>
    <w:rsid w:val="00965060"/>
    <w:rsid w:val="00973E1B"/>
    <w:rsid w:val="009837EB"/>
    <w:rsid w:val="00992EFD"/>
    <w:rsid w:val="0099426C"/>
    <w:rsid w:val="00994879"/>
    <w:rsid w:val="009A2283"/>
    <w:rsid w:val="009B0ED2"/>
    <w:rsid w:val="009C1C03"/>
    <w:rsid w:val="009D60B5"/>
    <w:rsid w:val="009E2567"/>
    <w:rsid w:val="009F4AEF"/>
    <w:rsid w:val="009F61FC"/>
    <w:rsid w:val="009F6885"/>
    <w:rsid w:val="009F7C60"/>
    <w:rsid w:val="00A10544"/>
    <w:rsid w:val="00A132D1"/>
    <w:rsid w:val="00A23B7D"/>
    <w:rsid w:val="00A5391E"/>
    <w:rsid w:val="00A61BEA"/>
    <w:rsid w:val="00A628A3"/>
    <w:rsid w:val="00A72AAE"/>
    <w:rsid w:val="00A75306"/>
    <w:rsid w:val="00A75715"/>
    <w:rsid w:val="00A83853"/>
    <w:rsid w:val="00A83AFB"/>
    <w:rsid w:val="00A949F6"/>
    <w:rsid w:val="00A96812"/>
    <w:rsid w:val="00AA441E"/>
    <w:rsid w:val="00AA4593"/>
    <w:rsid w:val="00AB1971"/>
    <w:rsid w:val="00AC56F1"/>
    <w:rsid w:val="00AE0199"/>
    <w:rsid w:val="00AF25E2"/>
    <w:rsid w:val="00AF5BF0"/>
    <w:rsid w:val="00B04DA9"/>
    <w:rsid w:val="00B10045"/>
    <w:rsid w:val="00B36E40"/>
    <w:rsid w:val="00B4463A"/>
    <w:rsid w:val="00B614B9"/>
    <w:rsid w:val="00B6584F"/>
    <w:rsid w:val="00B67C36"/>
    <w:rsid w:val="00B70D75"/>
    <w:rsid w:val="00B73D36"/>
    <w:rsid w:val="00B97A6B"/>
    <w:rsid w:val="00BA2F7D"/>
    <w:rsid w:val="00BB4840"/>
    <w:rsid w:val="00BD1C00"/>
    <w:rsid w:val="00BF13DF"/>
    <w:rsid w:val="00C20F57"/>
    <w:rsid w:val="00C400A1"/>
    <w:rsid w:val="00C40B4B"/>
    <w:rsid w:val="00C41111"/>
    <w:rsid w:val="00C468E9"/>
    <w:rsid w:val="00C576B2"/>
    <w:rsid w:val="00C64E9B"/>
    <w:rsid w:val="00C652EB"/>
    <w:rsid w:val="00C919CE"/>
    <w:rsid w:val="00C91ECE"/>
    <w:rsid w:val="00C962FB"/>
    <w:rsid w:val="00CA331E"/>
    <w:rsid w:val="00CD7C85"/>
    <w:rsid w:val="00CE001F"/>
    <w:rsid w:val="00CE4E39"/>
    <w:rsid w:val="00CF40EA"/>
    <w:rsid w:val="00CF5A14"/>
    <w:rsid w:val="00D02BD5"/>
    <w:rsid w:val="00D042C6"/>
    <w:rsid w:val="00D16B2C"/>
    <w:rsid w:val="00D20E37"/>
    <w:rsid w:val="00D52BF6"/>
    <w:rsid w:val="00D550CD"/>
    <w:rsid w:val="00D66D3E"/>
    <w:rsid w:val="00D7053D"/>
    <w:rsid w:val="00D752F3"/>
    <w:rsid w:val="00D87D5D"/>
    <w:rsid w:val="00D94200"/>
    <w:rsid w:val="00DC03A2"/>
    <w:rsid w:val="00DC7EC9"/>
    <w:rsid w:val="00DD522C"/>
    <w:rsid w:val="00DF4FEF"/>
    <w:rsid w:val="00DF70EA"/>
    <w:rsid w:val="00E02F2D"/>
    <w:rsid w:val="00E13152"/>
    <w:rsid w:val="00E16255"/>
    <w:rsid w:val="00E330B1"/>
    <w:rsid w:val="00E3349C"/>
    <w:rsid w:val="00E33C9E"/>
    <w:rsid w:val="00E34D36"/>
    <w:rsid w:val="00E37E23"/>
    <w:rsid w:val="00E401D6"/>
    <w:rsid w:val="00E41FD1"/>
    <w:rsid w:val="00E60DB7"/>
    <w:rsid w:val="00E63CF8"/>
    <w:rsid w:val="00E655A2"/>
    <w:rsid w:val="00E71296"/>
    <w:rsid w:val="00E847F5"/>
    <w:rsid w:val="00E90FEB"/>
    <w:rsid w:val="00E92AF6"/>
    <w:rsid w:val="00EA7058"/>
    <w:rsid w:val="00EB437E"/>
    <w:rsid w:val="00EC13B4"/>
    <w:rsid w:val="00EE749B"/>
    <w:rsid w:val="00EF234D"/>
    <w:rsid w:val="00F0274E"/>
    <w:rsid w:val="00F049B6"/>
    <w:rsid w:val="00F12E03"/>
    <w:rsid w:val="00F13119"/>
    <w:rsid w:val="00F15E3F"/>
    <w:rsid w:val="00F2700A"/>
    <w:rsid w:val="00F356E9"/>
    <w:rsid w:val="00F366C0"/>
    <w:rsid w:val="00F40930"/>
    <w:rsid w:val="00F44535"/>
    <w:rsid w:val="00F47C5B"/>
    <w:rsid w:val="00F518A1"/>
    <w:rsid w:val="00F51936"/>
    <w:rsid w:val="00F53566"/>
    <w:rsid w:val="00F727FB"/>
    <w:rsid w:val="00F86FEA"/>
    <w:rsid w:val="00F95F2F"/>
    <w:rsid w:val="00FA00EF"/>
    <w:rsid w:val="00FA0914"/>
    <w:rsid w:val="00FA6749"/>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B1D1-03F7-A44E-A10E-DEB3E2E8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998</Words>
  <Characters>5690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2021-03-14T06:41:00Z</dcterms:created>
  <dcterms:modified xsi:type="dcterms:W3CDTF">2021-03-14T06:41:00Z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3.01</vt:lpwstr>
  </property>
  <property fmtid="{D5CDD505-2E9C-101B-9397-08002B2CF9AE}" pid="6" name="Portfolio3Month">
    <vt:lpwstr>28.85</vt:lpwstr>
  </property>
  <property fmtid="{D5CDD505-2E9C-101B-9397-08002B2CF9AE}" pid="7" name="Portfolio6Month">
    <vt:lpwstr>30.43</vt:lpwstr>
  </property>
  <property fmtid="{D5CDD505-2E9C-101B-9397-08002B2CF9AE}" pid="8" name="Portfolio12Month">
    <vt:lpwstr>59.09</vt:lpwstr>
  </property>
  <property fmtid="{D5CDD505-2E9C-101B-9397-08002B2CF9AE}" pid="9" name="Portfolio3Years">
    <vt:lpwstr>19.81</vt:lpwstr>
  </property>
  <property fmtid="{D5CDD505-2E9C-101B-9397-08002B2CF9AE}" pid="10" name="PortfolioInceptionPa">
    <vt:lpwstr>15.27</vt:lpwstr>
  </property>
  <property fmtid="{D5CDD505-2E9C-101B-9397-08002B2CF9AE}" pid="11" name="Benchmark1Month">
    <vt:lpwstr>1.21</vt:lpwstr>
  </property>
  <property fmtid="{D5CDD505-2E9C-101B-9397-08002B2CF9AE}" pid="12" name="Benchmark3Month">
    <vt:lpwstr>13.70</vt:lpwstr>
  </property>
  <property fmtid="{D5CDD505-2E9C-101B-9397-08002B2CF9AE}" pid="13" name="Benchmark6Month">
    <vt:lpwstr>13.20</vt:lpwstr>
  </property>
  <property fmtid="{D5CDD505-2E9C-101B-9397-08002B2CF9AE}" pid="14" name="Benchmark12Month">
    <vt:lpwstr>1.40</vt:lpwstr>
  </property>
  <property fmtid="{D5CDD505-2E9C-101B-9397-08002B2CF9AE}" pid="15" name="Benchmark3Years">
    <vt:lpwstr>6.72</vt:lpwstr>
  </property>
  <property fmtid="{D5CDD505-2E9C-101B-9397-08002B2CF9AE}" pid="16" name="BenchmarkInceptionPa">
    <vt:lpwstr>7.06</vt:lpwstr>
  </property>
  <property fmtid="{D5CDD505-2E9C-101B-9397-08002B2CF9AE}" pid="17" name="Relative1Month">
    <vt:lpwstr>1.80</vt:lpwstr>
  </property>
  <property fmtid="{D5CDD505-2E9C-101B-9397-08002B2CF9AE}" pid="18" name="Relative3Month">
    <vt:lpwstr>15.15</vt:lpwstr>
  </property>
  <property fmtid="{D5CDD505-2E9C-101B-9397-08002B2CF9AE}" pid="19" name="Relative6Month">
    <vt:lpwstr>17.23</vt:lpwstr>
  </property>
  <property fmtid="{D5CDD505-2E9C-101B-9397-08002B2CF9AE}" pid="20" name="Relative12Month">
    <vt:lpwstr>57.69</vt:lpwstr>
  </property>
  <property fmtid="{D5CDD505-2E9C-101B-9397-08002B2CF9AE}" pid="21" name="Relative3Years">
    <vt:lpwstr>13.09</vt:lpwstr>
  </property>
  <property fmtid="{D5CDD505-2E9C-101B-9397-08002B2CF9AE}" pid="22" name="RelativeInceptionPa">
    <vt:lpwstr>8.21</vt:lpwstr>
  </property>
</Properties>
</file>